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A0FE1" w14:textId="77777777" w:rsidR="00FD2C45" w:rsidRPr="0053028A" w:rsidRDefault="00FD2C45" w:rsidP="00505EA3">
      <w:pPr>
        <w:bidi w:val="0"/>
        <w:spacing w:before="120" w:after="0" w:line="240" w:lineRule="auto"/>
        <w:jc w:val="center"/>
        <w:rPr>
          <w:rFonts w:asciiTheme="majorBidi" w:hAnsiTheme="majorBidi" w:cstheme="majorBidi"/>
          <w:b/>
          <w:bCs/>
          <w:noProof/>
          <w:sz w:val="26"/>
          <w:szCs w:val="26"/>
          <w:rtl/>
        </w:rPr>
      </w:pPr>
      <w:bookmarkStart w:id="0" w:name="_Hlk161824582"/>
      <w:bookmarkStart w:id="1" w:name="_Hlk161824741"/>
      <w:r w:rsidRPr="0053028A">
        <w:rPr>
          <w:rFonts w:asciiTheme="majorBidi" w:hAnsiTheme="majorBidi" w:cstheme="majorBidi"/>
          <w:b/>
          <w:bCs/>
          <w:noProof/>
          <w:sz w:val="26"/>
          <w:szCs w:val="26"/>
        </w:rPr>
        <w:t>Role of MicroRNA-1 as Diagnostic and Differentiating Biomarker between Acute Anterior Myocardial Infarction and Unstable Angina</w:t>
      </w:r>
    </w:p>
    <w:p w14:paraId="51A920B1" w14:textId="04C5642A" w:rsidR="0053028A" w:rsidRDefault="0053028A" w:rsidP="00505EA3">
      <w:pPr>
        <w:bidi w:val="0"/>
        <w:spacing w:after="0" w:line="240" w:lineRule="auto"/>
        <w:jc w:val="center"/>
        <w:rPr>
          <w:rFonts w:asciiTheme="majorBidi" w:hAnsiTheme="majorBidi" w:cstheme="majorBidi"/>
          <w:b/>
          <w:bCs/>
          <w:noProof/>
          <w:sz w:val="20"/>
          <w:szCs w:val="20"/>
        </w:rPr>
      </w:pPr>
      <w:bookmarkStart w:id="2" w:name="_Hlk161823268"/>
      <w:bookmarkStart w:id="3" w:name="_Hlk161824619"/>
      <w:bookmarkEnd w:id="0"/>
      <w:r w:rsidRPr="0053028A">
        <w:rPr>
          <w:rFonts w:asciiTheme="majorBidi" w:hAnsiTheme="majorBidi" w:cstheme="majorBidi"/>
          <w:b/>
          <w:bCs/>
          <w:noProof/>
          <w:sz w:val="20"/>
          <w:szCs w:val="20"/>
          <w:vertAlign w:val="superscript"/>
        </w:rPr>
        <w:t>1</w:t>
      </w:r>
      <w:r w:rsidR="001A5200" w:rsidRPr="001A5200">
        <w:rPr>
          <w:rFonts w:asciiTheme="majorBidi" w:hAnsiTheme="majorBidi" w:cstheme="majorBidi"/>
          <w:b/>
          <w:bCs/>
          <w:noProof/>
          <w:sz w:val="20"/>
          <w:szCs w:val="20"/>
        </w:rPr>
        <w:t>Samah M</w:t>
      </w:r>
      <w:r>
        <w:rPr>
          <w:rFonts w:asciiTheme="majorBidi" w:hAnsiTheme="majorBidi" w:cstheme="majorBidi"/>
          <w:b/>
          <w:bCs/>
          <w:noProof/>
          <w:sz w:val="20"/>
          <w:szCs w:val="20"/>
        </w:rPr>
        <w:t>.</w:t>
      </w:r>
      <w:r w:rsidR="001A5200" w:rsidRPr="001A5200">
        <w:rPr>
          <w:rFonts w:asciiTheme="majorBidi" w:hAnsiTheme="majorBidi" w:cstheme="majorBidi"/>
          <w:b/>
          <w:bCs/>
          <w:noProof/>
          <w:sz w:val="20"/>
          <w:szCs w:val="20"/>
        </w:rPr>
        <w:t xml:space="preserve"> Abd El khalek</w:t>
      </w:r>
      <w:bookmarkEnd w:id="2"/>
      <w:r w:rsidR="001A5200">
        <w:rPr>
          <w:rFonts w:asciiTheme="majorBidi" w:hAnsiTheme="majorBidi" w:cstheme="majorBidi"/>
          <w:b/>
          <w:bCs/>
          <w:noProof/>
          <w:sz w:val="20"/>
          <w:szCs w:val="20"/>
        </w:rPr>
        <w:t xml:space="preserve">, </w:t>
      </w:r>
      <w:r w:rsidRPr="0053028A">
        <w:rPr>
          <w:rFonts w:asciiTheme="majorBidi" w:hAnsiTheme="majorBidi" w:cstheme="majorBidi"/>
          <w:b/>
          <w:bCs/>
          <w:noProof/>
          <w:sz w:val="20"/>
          <w:szCs w:val="20"/>
          <w:vertAlign w:val="superscript"/>
        </w:rPr>
        <w:t>1</w:t>
      </w:r>
      <w:r w:rsidR="001A5200" w:rsidRPr="001A5200">
        <w:rPr>
          <w:rFonts w:asciiTheme="majorBidi" w:hAnsiTheme="majorBidi" w:cstheme="majorBidi"/>
          <w:b/>
          <w:bCs/>
          <w:noProof/>
          <w:sz w:val="20"/>
          <w:szCs w:val="20"/>
        </w:rPr>
        <w:t>Azza M</w:t>
      </w:r>
      <w:r>
        <w:rPr>
          <w:rFonts w:asciiTheme="majorBidi" w:hAnsiTheme="majorBidi" w:cstheme="majorBidi"/>
          <w:b/>
          <w:bCs/>
          <w:noProof/>
          <w:sz w:val="20"/>
          <w:szCs w:val="20"/>
        </w:rPr>
        <w:t>.</w:t>
      </w:r>
      <w:r w:rsidR="001A5200" w:rsidRPr="001A5200">
        <w:rPr>
          <w:rFonts w:asciiTheme="majorBidi" w:hAnsiTheme="majorBidi" w:cstheme="majorBidi"/>
          <w:b/>
          <w:bCs/>
          <w:noProof/>
          <w:sz w:val="20"/>
          <w:szCs w:val="20"/>
        </w:rPr>
        <w:t xml:space="preserve"> El Bermawy</w:t>
      </w:r>
      <w:r w:rsidR="001A5200">
        <w:rPr>
          <w:rFonts w:asciiTheme="majorBidi" w:hAnsiTheme="majorBidi" w:cstheme="majorBidi"/>
          <w:b/>
          <w:bCs/>
          <w:noProof/>
          <w:sz w:val="20"/>
          <w:szCs w:val="20"/>
        </w:rPr>
        <w:t xml:space="preserve">, </w:t>
      </w:r>
      <w:r w:rsidRPr="0053028A">
        <w:rPr>
          <w:rFonts w:asciiTheme="majorBidi" w:hAnsiTheme="majorBidi" w:cstheme="majorBidi"/>
          <w:b/>
          <w:bCs/>
          <w:noProof/>
          <w:sz w:val="20"/>
          <w:szCs w:val="20"/>
          <w:vertAlign w:val="superscript"/>
        </w:rPr>
        <w:t>2</w:t>
      </w:r>
      <w:r w:rsidR="001A5200" w:rsidRPr="001A5200">
        <w:rPr>
          <w:rFonts w:asciiTheme="majorBidi" w:hAnsiTheme="majorBidi" w:cstheme="majorBidi"/>
          <w:b/>
          <w:bCs/>
          <w:noProof/>
          <w:sz w:val="20"/>
          <w:szCs w:val="20"/>
        </w:rPr>
        <w:t>Heba A</w:t>
      </w:r>
      <w:r>
        <w:rPr>
          <w:rFonts w:asciiTheme="majorBidi" w:hAnsiTheme="majorBidi" w:cstheme="majorBidi"/>
          <w:b/>
          <w:bCs/>
          <w:noProof/>
          <w:sz w:val="20"/>
          <w:szCs w:val="20"/>
        </w:rPr>
        <w:t>.</w:t>
      </w:r>
      <w:r w:rsidR="001A5200" w:rsidRPr="001A5200">
        <w:rPr>
          <w:rFonts w:asciiTheme="majorBidi" w:hAnsiTheme="majorBidi" w:cstheme="majorBidi"/>
          <w:b/>
          <w:bCs/>
          <w:noProof/>
          <w:sz w:val="20"/>
          <w:szCs w:val="20"/>
        </w:rPr>
        <w:t xml:space="preserve"> Mansour</w:t>
      </w:r>
      <w:r w:rsidR="001A5200">
        <w:rPr>
          <w:rFonts w:asciiTheme="majorBidi" w:hAnsiTheme="majorBidi" w:cstheme="majorBidi"/>
          <w:b/>
          <w:bCs/>
          <w:noProof/>
          <w:sz w:val="20"/>
          <w:szCs w:val="20"/>
        </w:rPr>
        <w:t xml:space="preserve">, </w:t>
      </w:r>
      <w:r w:rsidRPr="0053028A">
        <w:rPr>
          <w:rFonts w:asciiTheme="majorBidi" w:hAnsiTheme="majorBidi" w:cstheme="majorBidi"/>
          <w:b/>
          <w:bCs/>
          <w:noProof/>
          <w:sz w:val="20"/>
          <w:szCs w:val="20"/>
          <w:vertAlign w:val="superscript"/>
        </w:rPr>
        <w:t>1</w:t>
      </w:r>
      <w:r w:rsidR="001A5200" w:rsidRPr="001A5200">
        <w:rPr>
          <w:rFonts w:asciiTheme="majorBidi" w:hAnsiTheme="majorBidi" w:cstheme="majorBidi"/>
          <w:b/>
          <w:bCs/>
          <w:noProof/>
          <w:sz w:val="20"/>
          <w:szCs w:val="20"/>
        </w:rPr>
        <w:t>Shaymaa M</w:t>
      </w:r>
      <w:r>
        <w:rPr>
          <w:rFonts w:asciiTheme="majorBidi" w:hAnsiTheme="majorBidi" w:cstheme="majorBidi"/>
          <w:b/>
          <w:bCs/>
          <w:noProof/>
          <w:sz w:val="20"/>
          <w:szCs w:val="20"/>
        </w:rPr>
        <w:t>.</w:t>
      </w:r>
      <w:r w:rsidR="001A5200" w:rsidRPr="001A5200">
        <w:rPr>
          <w:rFonts w:asciiTheme="majorBidi" w:hAnsiTheme="majorBidi" w:cstheme="majorBidi"/>
          <w:b/>
          <w:bCs/>
          <w:noProof/>
          <w:sz w:val="20"/>
          <w:szCs w:val="20"/>
        </w:rPr>
        <w:t xml:space="preserve"> Abd EL Rahman</w:t>
      </w:r>
    </w:p>
    <w:p w14:paraId="61E507FE" w14:textId="55DB2744" w:rsidR="001A5200" w:rsidRDefault="0053028A" w:rsidP="00505EA3">
      <w:pPr>
        <w:bidi w:val="0"/>
        <w:spacing w:after="0" w:line="240" w:lineRule="auto"/>
        <w:jc w:val="center"/>
        <w:rPr>
          <w:rFonts w:asciiTheme="majorBidi" w:hAnsiTheme="majorBidi" w:cstheme="majorBidi"/>
          <w:b/>
          <w:bCs/>
          <w:noProof/>
          <w:sz w:val="20"/>
          <w:szCs w:val="20"/>
          <w:rtl/>
        </w:rPr>
      </w:pPr>
      <w:r>
        <w:rPr>
          <w:rFonts w:asciiTheme="majorBidi" w:hAnsiTheme="majorBidi" w:cstheme="majorBidi"/>
          <w:b/>
          <w:bCs/>
          <w:noProof/>
          <w:sz w:val="20"/>
          <w:szCs w:val="20"/>
        </w:rPr>
        <w:t xml:space="preserve"> and</w:t>
      </w:r>
      <w:r w:rsidR="001A5200">
        <w:rPr>
          <w:rFonts w:asciiTheme="majorBidi" w:hAnsiTheme="majorBidi" w:cstheme="majorBidi"/>
          <w:b/>
          <w:bCs/>
          <w:noProof/>
          <w:sz w:val="20"/>
          <w:szCs w:val="20"/>
        </w:rPr>
        <w:t xml:space="preserve"> </w:t>
      </w:r>
      <w:r w:rsidRPr="0053028A">
        <w:rPr>
          <w:rFonts w:asciiTheme="majorBidi" w:hAnsiTheme="majorBidi" w:cstheme="majorBidi"/>
          <w:b/>
          <w:bCs/>
          <w:noProof/>
          <w:sz w:val="20"/>
          <w:szCs w:val="20"/>
          <w:vertAlign w:val="superscript"/>
        </w:rPr>
        <w:t>1</w:t>
      </w:r>
      <w:r w:rsidR="001A5200" w:rsidRPr="001A5200">
        <w:rPr>
          <w:rFonts w:asciiTheme="majorBidi" w:hAnsiTheme="majorBidi" w:cstheme="majorBidi"/>
          <w:b/>
          <w:bCs/>
          <w:noProof/>
          <w:sz w:val="20"/>
          <w:szCs w:val="20"/>
        </w:rPr>
        <w:t>Hend E</w:t>
      </w:r>
      <w:r>
        <w:rPr>
          <w:rFonts w:asciiTheme="majorBidi" w:hAnsiTheme="majorBidi" w:cstheme="majorBidi"/>
          <w:b/>
          <w:bCs/>
          <w:noProof/>
          <w:sz w:val="20"/>
          <w:szCs w:val="20"/>
        </w:rPr>
        <w:t>.</w:t>
      </w:r>
      <w:r w:rsidR="001A5200" w:rsidRPr="001A5200">
        <w:rPr>
          <w:rFonts w:asciiTheme="majorBidi" w:hAnsiTheme="majorBidi" w:cstheme="majorBidi"/>
          <w:b/>
          <w:bCs/>
          <w:noProof/>
          <w:sz w:val="20"/>
          <w:szCs w:val="20"/>
        </w:rPr>
        <w:t xml:space="preserve"> Nasr</w:t>
      </w:r>
      <w:bookmarkEnd w:id="3"/>
    </w:p>
    <w:p w14:paraId="4C995CC7" w14:textId="2D585CA4" w:rsidR="0053028A" w:rsidRDefault="0053028A" w:rsidP="00505EA3">
      <w:pPr>
        <w:bidi w:val="0"/>
        <w:spacing w:after="0" w:line="240" w:lineRule="auto"/>
        <w:jc w:val="center"/>
        <w:rPr>
          <w:rFonts w:asciiTheme="majorBidi" w:hAnsiTheme="majorBidi" w:cstheme="majorBidi"/>
          <w:noProof/>
          <w:sz w:val="20"/>
          <w:szCs w:val="20"/>
        </w:rPr>
      </w:pPr>
      <w:r w:rsidRPr="0053028A">
        <w:rPr>
          <w:rFonts w:asciiTheme="majorBidi" w:hAnsiTheme="majorBidi" w:cstheme="majorBidi"/>
          <w:noProof/>
          <w:sz w:val="20"/>
          <w:szCs w:val="20"/>
          <w:vertAlign w:val="superscript"/>
        </w:rPr>
        <w:t>1</w:t>
      </w:r>
      <w:r w:rsidRPr="0053028A">
        <w:rPr>
          <w:rFonts w:asciiTheme="majorBidi" w:hAnsiTheme="majorBidi" w:cstheme="majorBidi"/>
          <w:noProof/>
          <w:sz w:val="20"/>
          <w:szCs w:val="20"/>
        </w:rPr>
        <w:t>Medical Biochemistry&amp;Molecular Biology</w:t>
      </w:r>
      <w:r w:rsidRPr="0053028A">
        <w:rPr>
          <w:rFonts w:asciiTheme="majorBidi" w:hAnsiTheme="majorBidi" w:cstheme="majorBidi"/>
          <w:sz w:val="20"/>
          <w:szCs w:val="20"/>
        </w:rPr>
        <w:t xml:space="preserve"> </w:t>
      </w:r>
      <w:r w:rsidRPr="00BB34D2">
        <w:rPr>
          <w:rFonts w:asciiTheme="majorBidi" w:hAnsiTheme="majorBidi" w:cstheme="majorBidi"/>
          <w:sz w:val="20"/>
          <w:szCs w:val="20"/>
        </w:rPr>
        <w:t xml:space="preserve">Department, Faculty of Medicine, </w:t>
      </w:r>
      <w:proofErr w:type="spellStart"/>
      <w:r w:rsidRPr="00BB34D2">
        <w:rPr>
          <w:rFonts w:asciiTheme="majorBidi" w:hAnsiTheme="majorBidi" w:cstheme="majorBidi"/>
          <w:sz w:val="20"/>
          <w:szCs w:val="20"/>
        </w:rPr>
        <w:t>Benha</w:t>
      </w:r>
      <w:proofErr w:type="spellEnd"/>
      <w:r w:rsidRPr="00BB34D2">
        <w:rPr>
          <w:rFonts w:asciiTheme="majorBidi" w:hAnsiTheme="majorBidi" w:cstheme="majorBidi"/>
          <w:sz w:val="20"/>
          <w:szCs w:val="20"/>
        </w:rPr>
        <w:t xml:space="preserve"> University</w:t>
      </w:r>
    </w:p>
    <w:p w14:paraId="1BEA3B5F" w14:textId="70E57221" w:rsidR="0053028A" w:rsidRDefault="0053028A" w:rsidP="00505EA3">
      <w:pPr>
        <w:bidi w:val="0"/>
        <w:spacing w:after="0" w:line="240" w:lineRule="auto"/>
        <w:jc w:val="center"/>
        <w:rPr>
          <w:rFonts w:asciiTheme="majorBidi" w:hAnsiTheme="majorBidi" w:cstheme="majorBidi"/>
          <w:noProof/>
          <w:sz w:val="20"/>
          <w:szCs w:val="20"/>
        </w:rPr>
      </w:pPr>
      <w:r w:rsidRPr="0053028A">
        <w:rPr>
          <w:rFonts w:asciiTheme="majorBidi" w:hAnsiTheme="majorBidi" w:cstheme="majorBidi"/>
          <w:noProof/>
          <w:sz w:val="20"/>
          <w:szCs w:val="20"/>
          <w:vertAlign w:val="superscript"/>
        </w:rPr>
        <w:t>2</w:t>
      </w:r>
      <w:r w:rsidRPr="0053028A">
        <w:rPr>
          <w:rFonts w:asciiTheme="majorBidi" w:hAnsiTheme="majorBidi" w:cstheme="majorBidi"/>
          <w:noProof/>
          <w:sz w:val="20"/>
          <w:szCs w:val="20"/>
        </w:rPr>
        <w:t>Cardiology</w:t>
      </w:r>
      <w:r w:rsidRPr="0053028A">
        <w:rPr>
          <w:rFonts w:asciiTheme="majorBidi" w:hAnsiTheme="majorBidi" w:cstheme="majorBidi"/>
          <w:sz w:val="20"/>
          <w:szCs w:val="20"/>
        </w:rPr>
        <w:t xml:space="preserve"> </w:t>
      </w:r>
      <w:r w:rsidRPr="00BB34D2">
        <w:rPr>
          <w:rFonts w:asciiTheme="majorBidi" w:hAnsiTheme="majorBidi" w:cstheme="majorBidi"/>
          <w:sz w:val="20"/>
          <w:szCs w:val="20"/>
        </w:rPr>
        <w:t xml:space="preserve">Department, Faculty of Medicine, </w:t>
      </w:r>
      <w:proofErr w:type="spellStart"/>
      <w:r w:rsidRPr="00BB34D2">
        <w:rPr>
          <w:rFonts w:asciiTheme="majorBidi" w:hAnsiTheme="majorBidi" w:cstheme="majorBidi"/>
          <w:sz w:val="20"/>
          <w:szCs w:val="20"/>
        </w:rPr>
        <w:t>Benha</w:t>
      </w:r>
      <w:proofErr w:type="spellEnd"/>
      <w:r w:rsidRPr="00BB34D2">
        <w:rPr>
          <w:rFonts w:asciiTheme="majorBidi" w:hAnsiTheme="majorBidi" w:cstheme="majorBidi"/>
          <w:sz w:val="20"/>
          <w:szCs w:val="20"/>
        </w:rPr>
        <w:t xml:space="preserve"> University</w:t>
      </w:r>
    </w:p>
    <w:p w14:paraId="0B2CD8C7" w14:textId="796D34B2" w:rsidR="0053028A" w:rsidRPr="0053028A" w:rsidRDefault="0053028A" w:rsidP="00505EA3">
      <w:pPr>
        <w:bidi w:val="0"/>
        <w:spacing w:after="0" w:line="240" w:lineRule="auto"/>
        <w:jc w:val="center"/>
        <w:rPr>
          <w:rFonts w:asciiTheme="majorBidi" w:hAnsiTheme="majorBidi" w:cstheme="majorBidi"/>
          <w:noProof/>
          <w:sz w:val="20"/>
          <w:szCs w:val="20"/>
        </w:rPr>
      </w:pPr>
      <w:r w:rsidRPr="004366B0">
        <w:rPr>
          <w:rFonts w:asciiTheme="majorBidi" w:hAnsiTheme="majorBidi" w:cstheme="majorBidi"/>
          <w:b/>
          <w:bCs/>
          <w:sz w:val="20"/>
          <w:szCs w:val="20"/>
        </w:rPr>
        <w:t>E-Mail:</w:t>
      </w:r>
      <w:r w:rsidRPr="00C04DE7">
        <w:t xml:space="preserve"> </w:t>
      </w:r>
      <w:r w:rsidRPr="0053028A">
        <w:rPr>
          <w:rFonts w:asciiTheme="majorBidi" w:hAnsiTheme="majorBidi" w:cstheme="majorBidi"/>
          <w:noProof/>
          <w:sz w:val="20"/>
          <w:szCs w:val="20"/>
        </w:rPr>
        <w:t>drsamahmohamedbio@gmail.com</w:t>
      </w:r>
      <w:r w:rsidRPr="0053028A">
        <w:rPr>
          <w:rFonts w:asciiTheme="majorBidi" w:hAnsiTheme="majorBidi" w:cstheme="majorBidi"/>
          <w:noProof/>
          <w:sz w:val="20"/>
          <w:szCs w:val="20"/>
        </w:rPr>
        <w:tab/>
      </w:r>
    </w:p>
    <w:bookmarkEnd w:id="1"/>
    <w:p w14:paraId="60A75F3C" w14:textId="2D83F249" w:rsidR="003A493E" w:rsidRPr="001A5200" w:rsidRDefault="003A493E" w:rsidP="00505EA3">
      <w:pPr>
        <w:autoSpaceDE w:val="0"/>
        <w:autoSpaceDN w:val="0"/>
        <w:bidi w:val="0"/>
        <w:adjustRightInd w:val="0"/>
        <w:spacing w:after="0" w:line="240" w:lineRule="auto"/>
        <w:jc w:val="both"/>
        <w:rPr>
          <w:rFonts w:asciiTheme="majorBidi" w:hAnsiTheme="majorBidi" w:cstheme="majorBidi" w:hint="cs"/>
          <w:b/>
          <w:bCs/>
          <w:sz w:val="20"/>
          <w:szCs w:val="20"/>
          <w:rtl/>
          <w:lang w:bidi="ar-EG"/>
        </w:rPr>
      </w:pPr>
      <w:r w:rsidRPr="001A5200">
        <w:rPr>
          <w:rFonts w:asciiTheme="majorBidi" w:hAnsiTheme="majorBidi" w:cstheme="majorBidi"/>
          <w:b/>
          <w:bCs/>
          <w:sz w:val="20"/>
          <w:szCs w:val="20"/>
        </w:rPr>
        <w:t>Abstract</w:t>
      </w:r>
    </w:p>
    <w:p w14:paraId="46DC7993" w14:textId="77777777" w:rsidR="00EB795A" w:rsidRPr="001A5200" w:rsidRDefault="00EB795A" w:rsidP="00505EA3">
      <w:pPr>
        <w:bidi w:val="0"/>
        <w:spacing w:after="0" w:line="240" w:lineRule="auto"/>
        <w:jc w:val="both"/>
        <w:rPr>
          <w:rFonts w:asciiTheme="majorBidi" w:hAnsiTheme="majorBidi" w:cstheme="majorBidi"/>
          <w:sz w:val="20"/>
          <w:szCs w:val="20"/>
        </w:rPr>
      </w:pPr>
      <w:r w:rsidRPr="001A5200">
        <w:rPr>
          <w:rFonts w:asciiTheme="majorBidi" w:hAnsiTheme="majorBidi" w:cstheme="majorBidi"/>
          <w:sz w:val="20"/>
          <w:szCs w:val="20"/>
        </w:rPr>
        <w:t>Worldwide, coronary artery disease (CAD) accounts for a disproportionate share of all cardiovascular deaths. Disruption of the atherosclerotic plaque and thrombotic blockage of the artery cause acute coronary syndrome (ACS), a subtype of coronary artery disease (CAD). Acute anterior myocardial infarction (MI) and unstable angina (UA) are disorders that are part of acute coronary syndrome (ACS). These diseases indicate myocardial damage and necrosis. Assessment of symptoms, changes in troponin, and electrocardiogram (ECG) abnormalities due to ischemia are the current clinical diagnostic tools for acute coronary syndrome (ACS). On the other hand, "classic" symptoms are rare and don't reliably differentiate between cardiac and noncardiac reasons of chest discomfort in certain groups, such as diabetics, women, and the elderly. Ultimately, miR-1 enhances myoblast development by targeting the production of heat shock proteins (HSP)-60, HSP-70, and Bcl-2. It is secreted into the bloodstream after cardiac damage and is strongly expressed in skeletal muscle and cardiomyocytes. Its promise for quick diagnosis is supported by the fact that its level rises in plasma samples taken from patients shortly after symptoms begin.</w:t>
      </w:r>
    </w:p>
    <w:p w14:paraId="283F33AA" w14:textId="42E551BC" w:rsidR="00B3057E" w:rsidRPr="001A5200" w:rsidRDefault="00EB795A" w:rsidP="00505EA3">
      <w:pPr>
        <w:bidi w:val="0"/>
        <w:spacing w:after="0" w:line="240" w:lineRule="auto"/>
        <w:jc w:val="both"/>
        <w:rPr>
          <w:rFonts w:asciiTheme="majorBidi" w:hAnsiTheme="majorBidi" w:cstheme="majorBidi"/>
          <w:sz w:val="20"/>
          <w:szCs w:val="20"/>
        </w:rPr>
      </w:pPr>
      <w:r w:rsidRPr="001A5200">
        <w:rPr>
          <w:rFonts w:asciiTheme="majorBidi" w:hAnsiTheme="majorBidi" w:cstheme="majorBidi"/>
          <w:sz w:val="20"/>
          <w:szCs w:val="20"/>
        </w:rPr>
        <w:t xml:space="preserve">A number of diseases and conditions, including cardiovascular disease, have miRNAs in circulation as potential non-invasive indicators (CVD) The goal of this study was to identify if microRNA-1 could be </w:t>
      </w:r>
      <w:proofErr w:type="spellStart"/>
      <w:r w:rsidRPr="001A5200">
        <w:rPr>
          <w:rFonts w:asciiTheme="majorBidi" w:hAnsiTheme="majorBidi" w:cstheme="majorBidi"/>
          <w:sz w:val="20"/>
          <w:szCs w:val="20"/>
        </w:rPr>
        <w:t>utilised</w:t>
      </w:r>
      <w:proofErr w:type="spellEnd"/>
      <w:r w:rsidRPr="001A5200">
        <w:rPr>
          <w:rFonts w:asciiTheme="majorBidi" w:hAnsiTheme="majorBidi" w:cstheme="majorBidi"/>
          <w:sz w:val="20"/>
          <w:szCs w:val="20"/>
        </w:rPr>
        <w:t xml:space="preserve"> as a tool for discriminating between unstable angina (UA) and acute anterior myocardial infarction (MI), as well as to evaluate the impact of microRNA-1 expression in the diagnosis of UA and MI in patients (UA).</w:t>
      </w:r>
    </w:p>
    <w:p w14:paraId="0A332FFE" w14:textId="635A169B" w:rsidR="002E23B3" w:rsidRDefault="0053028A" w:rsidP="000E6E03">
      <w:pPr>
        <w:bidi w:val="0"/>
        <w:spacing w:before="120" w:after="120" w:line="240" w:lineRule="auto"/>
        <w:jc w:val="both"/>
        <w:rPr>
          <w:rFonts w:asciiTheme="majorBidi" w:hAnsiTheme="majorBidi" w:cstheme="majorBidi"/>
          <w:b/>
          <w:bCs/>
          <w:sz w:val="20"/>
          <w:szCs w:val="20"/>
        </w:rPr>
      </w:pPr>
      <w:r w:rsidRPr="0072072B">
        <w:rPr>
          <w:rFonts w:asciiTheme="majorBidi" w:eastAsia="Calibri" w:hAnsiTheme="majorBidi" w:cstheme="majorBidi"/>
          <w:b/>
          <w:bCs/>
          <w:noProof/>
          <w:sz w:val="20"/>
          <w:szCs w:val="20"/>
        </w:rPr>
        <w:t>Keywords</w:t>
      </w:r>
      <w:r w:rsidR="00EB795A" w:rsidRPr="001A5200">
        <w:rPr>
          <w:rFonts w:asciiTheme="majorBidi" w:hAnsiTheme="majorBidi" w:cstheme="majorBidi"/>
          <w:b/>
          <w:bCs/>
          <w:sz w:val="20"/>
          <w:szCs w:val="20"/>
        </w:rPr>
        <w:t xml:space="preserve">: </w:t>
      </w:r>
      <w:r w:rsidR="00EB795A" w:rsidRPr="00D65590">
        <w:rPr>
          <w:rFonts w:asciiTheme="majorBidi" w:hAnsiTheme="majorBidi" w:cstheme="majorBidi"/>
          <w:sz w:val="20"/>
          <w:szCs w:val="20"/>
        </w:rPr>
        <w:t xml:space="preserve">unstable angina pectoris, </w:t>
      </w:r>
      <w:proofErr w:type="gramStart"/>
      <w:r w:rsidR="00EB795A" w:rsidRPr="00D65590">
        <w:rPr>
          <w:rFonts w:asciiTheme="majorBidi" w:hAnsiTheme="majorBidi" w:cstheme="majorBidi"/>
          <w:sz w:val="20"/>
          <w:szCs w:val="20"/>
        </w:rPr>
        <w:t>microRNA-1</w:t>
      </w:r>
      <w:proofErr w:type="gramEnd"/>
      <w:r w:rsidR="00EB795A" w:rsidRPr="00D65590">
        <w:rPr>
          <w:rFonts w:asciiTheme="majorBidi" w:hAnsiTheme="majorBidi" w:cstheme="majorBidi"/>
          <w:sz w:val="20"/>
          <w:szCs w:val="20"/>
        </w:rPr>
        <w:t>, and acute anterior myocardial infarction</w:t>
      </w:r>
      <w:r w:rsidR="001A5200" w:rsidRPr="00D65590">
        <w:rPr>
          <w:rFonts w:asciiTheme="majorBidi" w:hAnsiTheme="majorBidi" w:cstheme="majorBidi"/>
          <w:sz w:val="20"/>
          <w:szCs w:val="20"/>
        </w:rPr>
        <w:t>.</w:t>
      </w:r>
    </w:p>
    <w:p w14:paraId="502B3BAF" w14:textId="58449E69" w:rsidR="001A5200" w:rsidRPr="001A5200" w:rsidRDefault="001A5200" w:rsidP="00505EA3">
      <w:pPr>
        <w:bidi w:val="0"/>
        <w:spacing w:after="0" w:line="240" w:lineRule="auto"/>
        <w:jc w:val="both"/>
        <w:rPr>
          <w:rFonts w:asciiTheme="majorBidi" w:eastAsia="Calibri" w:hAnsiTheme="majorBidi" w:cstheme="majorBidi"/>
          <w:b/>
          <w:bCs/>
          <w:sz w:val="20"/>
          <w:szCs w:val="20"/>
        </w:rPr>
        <w:sectPr w:rsidR="001A5200" w:rsidRPr="001A5200" w:rsidSect="00B83D64">
          <w:headerReference w:type="even" r:id="rId8"/>
          <w:headerReference w:type="default" r:id="rId9"/>
          <w:footerReference w:type="even" r:id="rId10"/>
          <w:footerReference w:type="default" r:id="rId11"/>
          <w:headerReference w:type="first" r:id="rId12"/>
          <w:footerReference w:type="first" r:id="rId13"/>
          <w:pgSz w:w="11909" w:h="16834" w:code="9"/>
          <w:pgMar w:top="1440" w:right="929" w:bottom="1440" w:left="1080" w:header="720" w:footer="720" w:gutter="0"/>
          <w:cols w:space="720"/>
          <w:titlePg/>
          <w:docGrid w:linePitch="360"/>
        </w:sectPr>
      </w:pPr>
    </w:p>
    <w:p w14:paraId="2B93215E" w14:textId="1AE95772" w:rsidR="003E6125" w:rsidRPr="001A5200" w:rsidRDefault="008A22B5" w:rsidP="00505EA3">
      <w:pPr>
        <w:bidi w:val="0"/>
        <w:spacing w:after="0" w:line="240" w:lineRule="auto"/>
        <w:jc w:val="both"/>
        <w:rPr>
          <w:rFonts w:asciiTheme="majorBidi" w:eastAsia="Calibri" w:hAnsiTheme="majorBidi" w:cstheme="majorBidi"/>
          <w:b/>
          <w:bCs/>
          <w:sz w:val="20"/>
          <w:szCs w:val="20"/>
        </w:rPr>
      </w:pPr>
      <w:r w:rsidRPr="001A5200">
        <w:rPr>
          <w:rFonts w:asciiTheme="majorBidi" w:eastAsia="Calibri" w:hAnsiTheme="majorBidi" w:cstheme="majorBidi"/>
          <w:b/>
          <w:bCs/>
          <w:sz w:val="20"/>
          <w:szCs w:val="20"/>
        </w:rPr>
        <w:t>1.</w:t>
      </w:r>
      <w:r w:rsidR="003E6125" w:rsidRPr="001A5200">
        <w:rPr>
          <w:rFonts w:asciiTheme="majorBidi" w:eastAsia="Calibri" w:hAnsiTheme="majorBidi" w:cstheme="majorBidi"/>
          <w:b/>
          <w:bCs/>
          <w:sz w:val="20"/>
          <w:szCs w:val="20"/>
        </w:rPr>
        <w:t>Introduction</w:t>
      </w:r>
    </w:p>
    <w:p w14:paraId="1FB10749" w14:textId="77777777" w:rsidR="00EB795A" w:rsidRPr="001A5200" w:rsidRDefault="00AA140F" w:rsidP="00505EA3">
      <w:pPr>
        <w:bidi w:val="0"/>
        <w:spacing w:after="0" w:line="240" w:lineRule="auto"/>
        <w:ind w:firstLine="360"/>
        <w:jc w:val="both"/>
        <w:rPr>
          <w:rFonts w:asciiTheme="majorBidi" w:hAnsiTheme="majorBidi" w:cstheme="majorBidi"/>
          <w:sz w:val="20"/>
          <w:szCs w:val="20"/>
        </w:rPr>
      </w:pPr>
      <w:r w:rsidRPr="001A5200">
        <w:rPr>
          <w:rFonts w:asciiTheme="majorBidi" w:hAnsiTheme="majorBidi" w:cstheme="majorBidi"/>
          <w:sz w:val="20"/>
          <w:szCs w:val="20"/>
        </w:rPr>
        <w:t xml:space="preserve">Coronary </w:t>
      </w:r>
      <w:r w:rsidR="00EB795A" w:rsidRPr="001A5200">
        <w:rPr>
          <w:rFonts w:asciiTheme="majorBidi" w:hAnsiTheme="majorBidi" w:cstheme="majorBidi"/>
          <w:sz w:val="20"/>
          <w:szCs w:val="20"/>
        </w:rPr>
        <w:t>The main reason people die from cardiovascular causes all around the globe is coronary artery disease (CAD). Disruption of the atherosclerotic plaque and thrombotic blockage of the artery cause acute coronary syndrome (ACS), a subtype of coronary artery disease (CAD) [1].</w:t>
      </w:r>
    </w:p>
    <w:p w14:paraId="432772AB" w14:textId="77777777" w:rsidR="00EB795A" w:rsidRPr="001A5200" w:rsidRDefault="00EB795A" w:rsidP="00505EA3">
      <w:pPr>
        <w:bidi w:val="0"/>
        <w:spacing w:after="0" w:line="240" w:lineRule="auto"/>
        <w:ind w:firstLine="360"/>
        <w:jc w:val="both"/>
        <w:rPr>
          <w:rFonts w:asciiTheme="majorBidi" w:hAnsiTheme="majorBidi" w:cstheme="majorBidi"/>
          <w:sz w:val="20"/>
          <w:szCs w:val="20"/>
        </w:rPr>
      </w:pPr>
      <w:r w:rsidRPr="001A5200">
        <w:rPr>
          <w:rFonts w:asciiTheme="majorBidi" w:hAnsiTheme="majorBidi" w:cstheme="majorBidi"/>
          <w:sz w:val="20"/>
          <w:szCs w:val="20"/>
        </w:rPr>
        <w:t>Myocardial damage and necrosis are symptoms of acute coronary syndromes (ACS), which include unstable angina (UA) and acute anterior myocardial infarction (MI) [2].</w:t>
      </w:r>
    </w:p>
    <w:p w14:paraId="53BC8467" w14:textId="77777777" w:rsidR="00EB795A" w:rsidRPr="001A5200" w:rsidRDefault="00EB795A" w:rsidP="00505EA3">
      <w:pPr>
        <w:bidi w:val="0"/>
        <w:spacing w:after="0" w:line="240" w:lineRule="auto"/>
        <w:ind w:firstLine="360"/>
        <w:jc w:val="both"/>
        <w:rPr>
          <w:rFonts w:asciiTheme="majorBidi" w:hAnsiTheme="majorBidi" w:cstheme="majorBidi"/>
          <w:sz w:val="20"/>
          <w:szCs w:val="20"/>
        </w:rPr>
      </w:pPr>
      <w:r w:rsidRPr="001A5200">
        <w:rPr>
          <w:rFonts w:asciiTheme="majorBidi" w:hAnsiTheme="majorBidi" w:cstheme="majorBidi"/>
          <w:sz w:val="20"/>
          <w:szCs w:val="20"/>
        </w:rPr>
        <w:t xml:space="preserve">The basic causes of atherosclerotic plaque rupture and subsequent thrombosis are the same as previously stated [3]. Acutely reduced blood flow in the coronary circulation is a result of this thrombus [4]. </w:t>
      </w:r>
      <w:proofErr w:type="gramStart"/>
      <w:r w:rsidRPr="001A5200">
        <w:rPr>
          <w:rFonts w:asciiTheme="majorBidi" w:hAnsiTheme="majorBidi" w:cstheme="majorBidi"/>
          <w:sz w:val="20"/>
          <w:szCs w:val="20"/>
        </w:rPr>
        <w:t>A number of</w:t>
      </w:r>
      <w:proofErr w:type="gramEnd"/>
      <w:r w:rsidRPr="001A5200">
        <w:rPr>
          <w:rFonts w:asciiTheme="majorBidi" w:hAnsiTheme="majorBidi" w:cstheme="majorBidi"/>
          <w:sz w:val="20"/>
          <w:szCs w:val="20"/>
        </w:rPr>
        <w:t xml:space="preserve"> variables increase the risk of coronary artery disease (ACS) [5]. These include smoking, high blood pressure, diabetes, high cholesterol, being male, not getting enough exercise, having a family history of the disease, being overweight, not eating well, and abusing cocaine. Almost twenty years ago, cardiac troponins I and T were the gold standard for diagnosing acute coronary syndrome. However, these markers are raised in patients suffering from myocarditis, aortic dissection, pulmonary embolism, congestive heart failure, and renal failure. Additionally, early biomarker-based detection of ACS is hindered since cardiac troponins are often generated from injured myocardial 4 to 8 hours after symptoms start [6]. So, finding new biomarkers could help detect ACS earlier, especially in those who have unusual symptoms of the disease [7].</w:t>
      </w:r>
    </w:p>
    <w:p w14:paraId="702F692B" w14:textId="77777777" w:rsidR="00EB795A" w:rsidRPr="001A5200" w:rsidRDefault="00EB795A" w:rsidP="00505EA3">
      <w:pPr>
        <w:bidi w:val="0"/>
        <w:spacing w:after="0" w:line="240" w:lineRule="auto"/>
        <w:ind w:firstLine="360"/>
        <w:jc w:val="both"/>
        <w:rPr>
          <w:rFonts w:asciiTheme="majorBidi" w:hAnsiTheme="majorBidi" w:cstheme="majorBidi"/>
          <w:sz w:val="20"/>
          <w:szCs w:val="20"/>
        </w:rPr>
      </w:pPr>
      <w:r w:rsidRPr="001A5200">
        <w:rPr>
          <w:rFonts w:asciiTheme="majorBidi" w:hAnsiTheme="majorBidi" w:cstheme="majorBidi"/>
          <w:sz w:val="20"/>
          <w:szCs w:val="20"/>
        </w:rPr>
        <w:t xml:space="preserve">Endogenous microRNAs (miRNAs) are single-stranded RNAs that are 19–24 nucleotides long and do not code [8]. Protein synthesis and translation are </w:t>
      </w:r>
      <w:r w:rsidRPr="001A5200">
        <w:rPr>
          <w:rFonts w:asciiTheme="majorBidi" w:hAnsiTheme="majorBidi" w:cstheme="majorBidi"/>
          <w:sz w:val="20"/>
          <w:szCs w:val="20"/>
        </w:rPr>
        <w:t xml:space="preserve">inhibited when these posttranscriptional regulators attach to the 3' untranslated region (UTR) of the target gene, </w:t>
      </w:r>
      <w:proofErr w:type="spellStart"/>
      <w:r w:rsidRPr="001A5200">
        <w:rPr>
          <w:rFonts w:asciiTheme="majorBidi" w:hAnsiTheme="majorBidi" w:cstheme="majorBidi"/>
          <w:sz w:val="20"/>
          <w:szCs w:val="20"/>
        </w:rPr>
        <w:t>destabilising</w:t>
      </w:r>
      <w:proofErr w:type="spellEnd"/>
      <w:r w:rsidRPr="001A5200">
        <w:rPr>
          <w:rFonts w:asciiTheme="majorBidi" w:hAnsiTheme="majorBidi" w:cstheme="majorBidi"/>
          <w:sz w:val="20"/>
          <w:szCs w:val="20"/>
        </w:rPr>
        <w:t xml:space="preserve"> the mRNA and repressing translation [9].</w:t>
      </w:r>
    </w:p>
    <w:p w14:paraId="083DA122" w14:textId="77777777" w:rsidR="00EB795A" w:rsidRPr="001A5200" w:rsidRDefault="00EB795A" w:rsidP="00505EA3">
      <w:pPr>
        <w:bidi w:val="0"/>
        <w:spacing w:after="0" w:line="240" w:lineRule="auto"/>
        <w:ind w:firstLine="360"/>
        <w:jc w:val="both"/>
        <w:rPr>
          <w:rFonts w:asciiTheme="majorBidi" w:hAnsiTheme="majorBidi" w:cstheme="majorBidi"/>
          <w:sz w:val="20"/>
          <w:szCs w:val="20"/>
        </w:rPr>
      </w:pPr>
      <w:r w:rsidRPr="001A5200">
        <w:rPr>
          <w:rFonts w:asciiTheme="majorBidi" w:hAnsiTheme="majorBidi" w:cstheme="majorBidi"/>
          <w:sz w:val="20"/>
          <w:szCs w:val="20"/>
        </w:rPr>
        <w:t>AMI and coronary artery disease (CAD) are among the several disorders linked to dysregulation of microRNAs (miRNAs), which are essential for homeostasis [10]. It is common to find miR-1 and miR-133 in all kinds of CAD. They have important functions in cardiac physiology and are highly expressed there [11].</w:t>
      </w:r>
    </w:p>
    <w:p w14:paraId="52616B99" w14:textId="77777777" w:rsidR="00EB795A" w:rsidRPr="001A5200" w:rsidRDefault="00EB795A" w:rsidP="00505EA3">
      <w:pPr>
        <w:bidi w:val="0"/>
        <w:spacing w:after="0" w:line="240" w:lineRule="auto"/>
        <w:ind w:firstLine="360"/>
        <w:jc w:val="both"/>
        <w:rPr>
          <w:rFonts w:asciiTheme="majorBidi" w:hAnsiTheme="majorBidi" w:cstheme="majorBidi"/>
          <w:sz w:val="20"/>
          <w:szCs w:val="20"/>
        </w:rPr>
      </w:pPr>
      <w:r w:rsidRPr="001A5200">
        <w:rPr>
          <w:rFonts w:asciiTheme="majorBidi" w:hAnsiTheme="majorBidi" w:cstheme="majorBidi"/>
          <w:sz w:val="20"/>
          <w:szCs w:val="20"/>
        </w:rPr>
        <w:t>Ultimately, miR-1 enhances myoblast development by targeting the production of heat shock proteins (HSP)-60, HSP-70, and Bcl-2. It is released into the blood upon cardiac damage and is abundantly expressed in skeletal muscle and cardiomyocytes [12]. Its promise for quick diagnosis is supported by the fact that its level rises in plasma samples taken from patients less than 2 hours after the start of symptoms [13].</w:t>
      </w:r>
    </w:p>
    <w:p w14:paraId="19C40C1E" w14:textId="77777777" w:rsidR="00EB795A" w:rsidRPr="001A5200" w:rsidRDefault="00EB795A" w:rsidP="00505EA3">
      <w:pPr>
        <w:bidi w:val="0"/>
        <w:spacing w:after="0" w:line="240" w:lineRule="auto"/>
        <w:ind w:firstLine="360"/>
        <w:jc w:val="both"/>
        <w:rPr>
          <w:rFonts w:asciiTheme="majorBidi" w:hAnsiTheme="majorBidi" w:cstheme="majorBidi"/>
          <w:sz w:val="20"/>
          <w:szCs w:val="20"/>
        </w:rPr>
      </w:pPr>
      <w:r w:rsidRPr="001A5200">
        <w:rPr>
          <w:rFonts w:asciiTheme="majorBidi" w:hAnsiTheme="majorBidi" w:cstheme="majorBidi"/>
          <w:sz w:val="20"/>
          <w:szCs w:val="20"/>
        </w:rPr>
        <w:t>Cardiovascular disease (CVD) is one of the diseases that may be detected non-invasively by measuring miRNAs in the blood and other bodily fluids [14].</w:t>
      </w:r>
    </w:p>
    <w:p w14:paraId="2C577AD7" w14:textId="77777777" w:rsidR="00EB795A" w:rsidRPr="001A5200" w:rsidRDefault="00EB795A" w:rsidP="00505EA3">
      <w:pPr>
        <w:bidi w:val="0"/>
        <w:spacing w:after="0" w:line="240" w:lineRule="auto"/>
        <w:ind w:firstLine="360"/>
        <w:jc w:val="both"/>
        <w:rPr>
          <w:rFonts w:asciiTheme="majorBidi" w:hAnsiTheme="majorBidi" w:cstheme="majorBidi"/>
          <w:sz w:val="20"/>
          <w:szCs w:val="20"/>
        </w:rPr>
      </w:pPr>
      <w:r w:rsidRPr="001A5200">
        <w:rPr>
          <w:rFonts w:asciiTheme="majorBidi" w:hAnsiTheme="majorBidi" w:cstheme="majorBidi"/>
          <w:sz w:val="20"/>
          <w:szCs w:val="20"/>
        </w:rPr>
        <w:t xml:space="preserve">At present, miRNAs in circulation are being studied as potential non-invasive diagnostic indicators of cardiovascular diseases, such as unstable angina, ST-elevation myocardial infarction (STEMI), non-ST-elevation myocardial infarction (NSTEMI), and coronary artery disease (CAD and </w:t>
      </w:r>
      <w:proofErr w:type="gramStart"/>
      <w:r w:rsidRPr="001A5200">
        <w:rPr>
          <w:rFonts w:asciiTheme="majorBidi" w:hAnsiTheme="majorBidi" w:cstheme="majorBidi"/>
          <w:sz w:val="20"/>
          <w:szCs w:val="20"/>
        </w:rPr>
        <w:t>ACS)[</w:t>
      </w:r>
      <w:proofErr w:type="gramEnd"/>
      <w:r w:rsidRPr="001A5200">
        <w:rPr>
          <w:rFonts w:asciiTheme="majorBidi" w:hAnsiTheme="majorBidi" w:cstheme="majorBidi"/>
          <w:sz w:val="20"/>
          <w:szCs w:val="20"/>
        </w:rPr>
        <w:t>15].</w:t>
      </w:r>
    </w:p>
    <w:p w14:paraId="5E8CD957" w14:textId="12FA3914" w:rsidR="00AA140F" w:rsidRDefault="00EB795A" w:rsidP="00505EA3">
      <w:pPr>
        <w:bidi w:val="0"/>
        <w:spacing w:after="0" w:line="240" w:lineRule="auto"/>
        <w:ind w:firstLine="360"/>
        <w:jc w:val="both"/>
        <w:rPr>
          <w:rFonts w:asciiTheme="majorBidi" w:hAnsiTheme="majorBidi" w:cstheme="majorBidi"/>
          <w:sz w:val="20"/>
          <w:szCs w:val="20"/>
        </w:rPr>
      </w:pPr>
      <w:r w:rsidRPr="001A5200">
        <w:rPr>
          <w:rFonts w:asciiTheme="majorBidi" w:hAnsiTheme="majorBidi" w:cstheme="majorBidi"/>
          <w:sz w:val="20"/>
          <w:szCs w:val="20"/>
        </w:rPr>
        <w:t xml:space="preserve">The stability of miRNAs in circulation makes them a promising biomarker </w:t>
      </w:r>
      <w:proofErr w:type="gramStart"/>
      <w:r w:rsidRPr="001A5200">
        <w:rPr>
          <w:rFonts w:asciiTheme="majorBidi" w:hAnsiTheme="majorBidi" w:cstheme="majorBidi"/>
          <w:sz w:val="20"/>
          <w:szCs w:val="20"/>
        </w:rPr>
        <w:t>candidate[</w:t>
      </w:r>
      <w:proofErr w:type="gramEnd"/>
      <w:r w:rsidRPr="001A5200">
        <w:rPr>
          <w:rFonts w:asciiTheme="majorBidi" w:hAnsiTheme="majorBidi" w:cstheme="majorBidi"/>
          <w:sz w:val="20"/>
          <w:szCs w:val="20"/>
        </w:rPr>
        <w:t>15]. They are also resistant to ribonuclease.</w:t>
      </w:r>
    </w:p>
    <w:p w14:paraId="2CEB2113" w14:textId="77777777" w:rsidR="00505EA3" w:rsidRDefault="00505EA3" w:rsidP="00505EA3">
      <w:pPr>
        <w:bidi w:val="0"/>
        <w:spacing w:after="0" w:line="240" w:lineRule="auto"/>
        <w:ind w:firstLine="360"/>
        <w:jc w:val="both"/>
        <w:rPr>
          <w:rFonts w:asciiTheme="majorBidi" w:hAnsiTheme="majorBidi" w:cstheme="majorBidi"/>
          <w:sz w:val="20"/>
          <w:szCs w:val="20"/>
        </w:rPr>
      </w:pPr>
    </w:p>
    <w:p w14:paraId="45D53507" w14:textId="67FD54FD" w:rsidR="003C3580" w:rsidRPr="001A5200" w:rsidRDefault="008A22B5" w:rsidP="00505EA3">
      <w:pPr>
        <w:bidi w:val="0"/>
        <w:spacing w:after="0" w:line="240" w:lineRule="auto"/>
        <w:jc w:val="both"/>
        <w:rPr>
          <w:rFonts w:asciiTheme="majorBidi" w:eastAsia="Calibri" w:hAnsiTheme="majorBidi" w:cstheme="majorBidi"/>
          <w:b/>
          <w:bCs/>
          <w:sz w:val="20"/>
          <w:szCs w:val="20"/>
        </w:rPr>
      </w:pPr>
      <w:r w:rsidRPr="001A5200">
        <w:rPr>
          <w:rFonts w:asciiTheme="majorBidi" w:eastAsia="Calibri" w:hAnsiTheme="majorBidi" w:cstheme="majorBidi"/>
          <w:b/>
          <w:bCs/>
          <w:sz w:val="20"/>
          <w:szCs w:val="20"/>
        </w:rPr>
        <w:t>2.</w:t>
      </w:r>
      <w:r w:rsidR="003C3580" w:rsidRPr="001A5200">
        <w:rPr>
          <w:rFonts w:asciiTheme="majorBidi" w:eastAsia="Calibri" w:hAnsiTheme="majorBidi" w:cstheme="majorBidi"/>
          <w:b/>
          <w:bCs/>
          <w:sz w:val="20"/>
          <w:szCs w:val="20"/>
        </w:rPr>
        <w:t xml:space="preserve">Subject and </w:t>
      </w:r>
      <w:r w:rsidRPr="001A5200">
        <w:rPr>
          <w:rFonts w:asciiTheme="majorBidi" w:eastAsia="Calibri" w:hAnsiTheme="majorBidi" w:cstheme="majorBidi"/>
          <w:b/>
          <w:bCs/>
          <w:sz w:val="20"/>
          <w:szCs w:val="20"/>
        </w:rPr>
        <w:t>M</w:t>
      </w:r>
      <w:r w:rsidR="003C3580" w:rsidRPr="001A5200">
        <w:rPr>
          <w:rFonts w:asciiTheme="majorBidi" w:eastAsia="Calibri" w:hAnsiTheme="majorBidi" w:cstheme="majorBidi"/>
          <w:b/>
          <w:bCs/>
          <w:sz w:val="20"/>
          <w:szCs w:val="20"/>
        </w:rPr>
        <w:t>ethods</w:t>
      </w:r>
    </w:p>
    <w:p w14:paraId="5A7C159D" w14:textId="77777777" w:rsidR="00EB795A" w:rsidRPr="001A5200" w:rsidRDefault="00EB795A" w:rsidP="00505EA3">
      <w:pPr>
        <w:bidi w:val="0"/>
        <w:spacing w:after="0" w:line="240" w:lineRule="auto"/>
        <w:jc w:val="both"/>
        <w:rPr>
          <w:rFonts w:asciiTheme="majorBidi" w:hAnsiTheme="majorBidi" w:cstheme="majorBidi"/>
          <w:sz w:val="20"/>
          <w:szCs w:val="20"/>
        </w:rPr>
      </w:pPr>
      <w:r w:rsidRPr="001A5200">
        <w:rPr>
          <w:rFonts w:asciiTheme="majorBidi" w:hAnsiTheme="majorBidi" w:cstheme="majorBidi"/>
          <w:sz w:val="20"/>
          <w:szCs w:val="20"/>
        </w:rPr>
        <w:t xml:space="preserve">Forty participants, forty from the Cardiology Department's Coronary Care Unit at </w:t>
      </w:r>
      <w:proofErr w:type="spellStart"/>
      <w:r w:rsidRPr="001A5200">
        <w:rPr>
          <w:rFonts w:asciiTheme="majorBidi" w:hAnsiTheme="majorBidi" w:cstheme="majorBidi"/>
          <w:sz w:val="20"/>
          <w:szCs w:val="20"/>
        </w:rPr>
        <w:t>Benha</w:t>
      </w:r>
      <w:proofErr w:type="spellEnd"/>
      <w:r w:rsidRPr="001A5200">
        <w:rPr>
          <w:rFonts w:asciiTheme="majorBidi" w:hAnsiTheme="majorBidi" w:cstheme="majorBidi"/>
          <w:sz w:val="20"/>
          <w:szCs w:val="20"/>
        </w:rPr>
        <w:t xml:space="preserve"> University </w:t>
      </w:r>
      <w:r w:rsidRPr="001A5200">
        <w:rPr>
          <w:rFonts w:asciiTheme="majorBidi" w:hAnsiTheme="majorBidi" w:cstheme="majorBidi"/>
          <w:sz w:val="20"/>
          <w:szCs w:val="20"/>
        </w:rPr>
        <w:lastRenderedPageBreak/>
        <w:t xml:space="preserve">Hospital, and twenty from a healthy control group participated in the study after it had been approved by the Research Ethical Committee of the </w:t>
      </w:r>
      <w:proofErr w:type="spellStart"/>
      <w:r w:rsidRPr="001A5200">
        <w:rPr>
          <w:rFonts w:asciiTheme="majorBidi" w:hAnsiTheme="majorBidi" w:cstheme="majorBidi"/>
          <w:sz w:val="20"/>
          <w:szCs w:val="20"/>
        </w:rPr>
        <w:t>Benha</w:t>
      </w:r>
      <w:proofErr w:type="spellEnd"/>
      <w:r w:rsidRPr="001A5200">
        <w:rPr>
          <w:rFonts w:asciiTheme="majorBidi" w:hAnsiTheme="majorBidi" w:cstheme="majorBidi"/>
          <w:sz w:val="20"/>
          <w:szCs w:val="20"/>
        </w:rPr>
        <w:t xml:space="preserve"> Faculty of Medicine and all participants had given their written informed consent. Twenty healthy individuals who were age and sex matched served as volunteers, whereas twenty patients suffering from unstable angina and twenty patients suffering from acute anterior myocardial infarction served as subjects (AMI).</w:t>
      </w:r>
    </w:p>
    <w:p w14:paraId="52A2E5AB" w14:textId="77777777" w:rsidR="00EB795A" w:rsidRDefault="00EB795A" w:rsidP="00505EA3">
      <w:pPr>
        <w:bidi w:val="0"/>
        <w:spacing w:after="0" w:line="240" w:lineRule="auto"/>
        <w:jc w:val="both"/>
        <w:rPr>
          <w:rFonts w:asciiTheme="majorBidi" w:hAnsiTheme="majorBidi" w:cstheme="majorBidi"/>
          <w:sz w:val="20"/>
          <w:szCs w:val="20"/>
        </w:rPr>
      </w:pPr>
      <w:r w:rsidRPr="001A5200">
        <w:rPr>
          <w:rFonts w:asciiTheme="majorBidi" w:hAnsiTheme="majorBidi" w:cstheme="majorBidi"/>
          <w:sz w:val="20"/>
          <w:szCs w:val="20"/>
        </w:rPr>
        <w:t>The blood: After collecting blood in an EDTA tube, it was divided into several portions and transferred to an RNase-free tube. The entire blood and plasma samples were kept at a temperature of -80°C until the RNA was extracted.</w:t>
      </w:r>
    </w:p>
    <w:p w14:paraId="0C332C9C" w14:textId="7D545CAA" w:rsidR="00505EA3" w:rsidRPr="00505EA3" w:rsidRDefault="00505EA3" w:rsidP="00505EA3">
      <w:pPr>
        <w:bidi w:val="0"/>
        <w:spacing w:before="120" w:after="0" w:line="240" w:lineRule="auto"/>
        <w:rPr>
          <w:rFonts w:asciiTheme="majorBidi" w:hAnsiTheme="majorBidi" w:cstheme="majorBidi"/>
          <w:b/>
          <w:bCs/>
          <w:sz w:val="20"/>
          <w:szCs w:val="20"/>
        </w:rPr>
      </w:pPr>
      <w:r w:rsidRPr="00505EA3">
        <w:rPr>
          <w:rFonts w:asciiTheme="majorBidi" w:hAnsiTheme="majorBidi" w:cstheme="majorBidi"/>
          <w:b/>
          <w:bCs/>
          <w:sz w:val="20"/>
          <w:szCs w:val="20"/>
        </w:rPr>
        <w:t>Estimation of miRNAs expression levels according to the following steps</w:t>
      </w:r>
      <w:r w:rsidRPr="00505EA3">
        <w:rPr>
          <w:rFonts w:asciiTheme="majorBidi" w:hAnsiTheme="majorBidi" w:cs="Times New Roman"/>
          <w:b/>
          <w:bCs/>
          <w:sz w:val="20"/>
          <w:szCs w:val="20"/>
          <w:rtl/>
        </w:rPr>
        <w:t>:</w:t>
      </w:r>
    </w:p>
    <w:p w14:paraId="2243098E" w14:textId="78011FAD" w:rsidR="00505EA3" w:rsidRPr="00505EA3" w:rsidRDefault="00505EA3" w:rsidP="00505EA3">
      <w:pPr>
        <w:pStyle w:val="ListParagraph"/>
        <w:numPr>
          <w:ilvl w:val="0"/>
          <w:numId w:val="19"/>
        </w:numPr>
        <w:bidi w:val="0"/>
        <w:spacing w:after="0" w:line="240" w:lineRule="auto"/>
        <w:ind w:left="360" w:firstLine="0"/>
        <w:jc w:val="both"/>
        <w:rPr>
          <w:rFonts w:asciiTheme="majorBidi" w:hAnsiTheme="majorBidi" w:cstheme="majorBidi"/>
          <w:sz w:val="20"/>
          <w:szCs w:val="20"/>
        </w:rPr>
      </w:pPr>
      <w:r w:rsidRPr="00505EA3">
        <w:rPr>
          <w:rFonts w:asciiTheme="majorBidi" w:hAnsiTheme="majorBidi" w:cstheme="majorBidi"/>
          <w:sz w:val="20"/>
          <w:szCs w:val="20"/>
        </w:rPr>
        <w:t>Total RNA including microRNA extraction</w:t>
      </w:r>
      <w:r w:rsidRPr="00505EA3">
        <w:rPr>
          <w:rFonts w:asciiTheme="majorBidi" w:hAnsiTheme="majorBidi" w:cs="Times New Roman"/>
          <w:sz w:val="20"/>
          <w:szCs w:val="20"/>
          <w:rtl/>
        </w:rPr>
        <w:t>.</w:t>
      </w:r>
    </w:p>
    <w:p w14:paraId="00D25EDD" w14:textId="6063B368" w:rsidR="00505EA3" w:rsidRPr="00505EA3" w:rsidRDefault="00505EA3" w:rsidP="00505EA3">
      <w:pPr>
        <w:pStyle w:val="ListParagraph"/>
        <w:numPr>
          <w:ilvl w:val="0"/>
          <w:numId w:val="19"/>
        </w:numPr>
        <w:bidi w:val="0"/>
        <w:spacing w:after="0" w:line="240" w:lineRule="auto"/>
        <w:ind w:left="360" w:firstLine="0"/>
        <w:jc w:val="both"/>
        <w:rPr>
          <w:rFonts w:asciiTheme="majorBidi" w:hAnsiTheme="majorBidi" w:cstheme="majorBidi"/>
          <w:sz w:val="20"/>
          <w:szCs w:val="20"/>
        </w:rPr>
      </w:pPr>
      <w:r w:rsidRPr="00505EA3">
        <w:rPr>
          <w:rFonts w:asciiTheme="majorBidi" w:hAnsiTheme="majorBidi" w:cstheme="majorBidi"/>
          <w:sz w:val="20"/>
          <w:szCs w:val="20"/>
        </w:rPr>
        <w:t>Relative quantitation of microRNA-1 by two-step quantitative Real time PCR</w:t>
      </w:r>
      <w:r w:rsidRPr="00505EA3">
        <w:rPr>
          <w:rFonts w:asciiTheme="majorBidi" w:hAnsiTheme="majorBidi" w:cs="Times New Roman"/>
          <w:sz w:val="20"/>
          <w:szCs w:val="20"/>
          <w:rtl/>
        </w:rPr>
        <w:t>.</w:t>
      </w:r>
    </w:p>
    <w:p w14:paraId="5A745DA6" w14:textId="0036AB78" w:rsidR="00505EA3" w:rsidRPr="00505EA3" w:rsidRDefault="00505EA3" w:rsidP="00505EA3">
      <w:pPr>
        <w:pStyle w:val="ListParagraph"/>
        <w:numPr>
          <w:ilvl w:val="0"/>
          <w:numId w:val="19"/>
        </w:numPr>
        <w:bidi w:val="0"/>
        <w:spacing w:after="0" w:line="240" w:lineRule="auto"/>
        <w:ind w:left="360" w:firstLine="0"/>
        <w:jc w:val="both"/>
        <w:rPr>
          <w:rFonts w:asciiTheme="majorBidi" w:hAnsiTheme="majorBidi" w:cstheme="majorBidi"/>
          <w:sz w:val="20"/>
          <w:szCs w:val="20"/>
        </w:rPr>
      </w:pPr>
      <w:r w:rsidRPr="00505EA3">
        <w:rPr>
          <w:rFonts w:asciiTheme="majorBidi" w:hAnsiTheme="majorBidi" w:cstheme="majorBidi"/>
          <w:sz w:val="20"/>
          <w:szCs w:val="20"/>
        </w:rPr>
        <w:t>Data analysis.</w:t>
      </w:r>
    </w:p>
    <w:p w14:paraId="2DA29658" w14:textId="632DEECA" w:rsidR="00EB795A" w:rsidRPr="00505EA3" w:rsidRDefault="00EB795A" w:rsidP="00505EA3">
      <w:pPr>
        <w:bidi w:val="0"/>
        <w:spacing w:before="120" w:after="0" w:line="240" w:lineRule="auto"/>
        <w:jc w:val="both"/>
        <w:rPr>
          <w:rFonts w:asciiTheme="majorBidi" w:hAnsiTheme="majorBidi" w:cstheme="majorBidi"/>
          <w:b/>
          <w:bCs/>
          <w:sz w:val="20"/>
          <w:szCs w:val="20"/>
        </w:rPr>
      </w:pPr>
      <w:r w:rsidRPr="00505EA3">
        <w:rPr>
          <w:rFonts w:asciiTheme="majorBidi" w:hAnsiTheme="majorBidi" w:cstheme="majorBidi"/>
          <w:b/>
          <w:bCs/>
          <w:sz w:val="20"/>
          <w:szCs w:val="20"/>
        </w:rPr>
        <w:t>3.Analytical synthesis</w:t>
      </w:r>
    </w:p>
    <w:p w14:paraId="51C3E770" w14:textId="46C75D68" w:rsidR="0003109F" w:rsidRDefault="00EB795A" w:rsidP="00505EA3">
      <w:pPr>
        <w:bidi w:val="0"/>
        <w:spacing w:after="0" w:line="240" w:lineRule="auto"/>
        <w:ind w:firstLine="360"/>
        <w:jc w:val="both"/>
        <w:rPr>
          <w:rFonts w:asciiTheme="majorBidi" w:hAnsiTheme="majorBidi" w:cstheme="majorBidi"/>
          <w:sz w:val="20"/>
          <w:szCs w:val="20"/>
        </w:rPr>
      </w:pPr>
      <w:r w:rsidRPr="001A5200">
        <w:rPr>
          <w:rFonts w:asciiTheme="majorBidi" w:hAnsiTheme="majorBidi" w:cstheme="majorBidi"/>
          <w:sz w:val="20"/>
          <w:szCs w:val="20"/>
        </w:rPr>
        <w:t xml:space="preserve">Version 20.0 of IBM's statistical </w:t>
      </w:r>
      <w:proofErr w:type="spellStart"/>
      <w:r w:rsidRPr="001A5200">
        <w:rPr>
          <w:rFonts w:asciiTheme="majorBidi" w:hAnsiTheme="majorBidi" w:cstheme="majorBidi"/>
          <w:sz w:val="20"/>
          <w:szCs w:val="20"/>
        </w:rPr>
        <w:t>programme</w:t>
      </w:r>
      <w:proofErr w:type="spellEnd"/>
      <w:r w:rsidRPr="001A5200">
        <w:rPr>
          <w:rFonts w:asciiTheme="majorBidi" w:hAnsiTheme="majorBidi" w:cstheme="majorBidi"/>
          <w:sz w:val="20"/>
          <w:szCs w:val="20"/>
        </w:rPr>
        <w:t xml:space="preserve"> for social science (SPSS) was used for data analysis (IBM </w:t>
      </w:r>
      <w:r w:rsidRPr="001A5200">
        <w:rPr>
          <w:rFonts w:asciiTheme="majorBidi" w:hAnsiTheme="majorBidi" w:cstheme="majorBidi"/>
          <w:sz w:val="20"/>
          <w:szCs w:val="20"/>
        </w:rPr>
        <w:t xml:space="preserve">Corp., 2017). With Version 25.0, IBM Corp. of Armonk, New York, released IBM SPSS Statistics for Windows. Quantitative and qualitative data were </w:t>
      </w:r>
      <w:proofErr w:type="spellStart"/>
      <w:r w:rsidRPr="001A5200">
        <w:rPr>
          <w:rFonts w:asciiTheme="majorBidi" w:hAnsiTheme="majorBidi" w:cstheme="majorBidi"/>
          <w:sz w:val="20"/>
          <w:szCs w:val="20"/>
        </w:rPr>
        <w:t>characterised</w:t>
      </w:r>
      <w:proofErr w:type="spellEnd"/>
      <w:r w:rsidRPr="001A5200">
        <w:rPr>
          <w:rFonts w:asciiTheme="majorBidi" w:hAnsiTheme="majorBidi" w:cstheme="majorBidi"/>
          <w:sz w:val="20"/>
          <w:szCs w:val="20"/>
        </w:rPr>
        <w:t xml:space="preserve"> by percentages and counts. To ensure the distribution was normal, the Shapiro-Wilk test was used. Range (including minimum and maximum), mean, standard deviation, median, and interquartile range were used to represent quantitative data (IQR). A </w:t>
      </w:r>
      <w:proofErr w:type="gramStart"/>
      <w:r w:rsidRPr="001A5200">
        <w:rPr>
          <w:rFonts w:asciiTheme="majorBidi" w:hAnsiTheme="majorBidi" w:cstheme="majorBidi"/>
          <w:sz w:val="20"/>
          <w:szCs w:val="20"/>
        </w:rPr>
        <w:t>significance</w:t>
      </w:r>
      <w:proofErr w:type="gramEnd"/>
      <w:r w:rsidRPr="001A5200">
        <w:rPr>
          <w:rFonts w:asciiTheme="majorBidi" w:hAnsiTheme="majorBidi" w:cstheme="majorBidi"/>
          <w:sz w:val="20"/>
          <w:szCs w:val="20"/>
        </w:rPr>
        <w:t xml:space="preserve"> threshold of 5% was used to evaluate the findings.</w:t>
      </w:r>
    </w:p>
    <w:p w14:paraId="0DEA7BBD" w14:textId="5CF80635" w:rsidR="001A5200" w:rsidRPr="001A5200" w:rsidRDefault="001A5200" w:rsidP="000E6E03">
      <w:pPr>
        <w:bidi w:val="0"/>
        <w:spacing w:after="0" w:line="240" w:lineRule="auto"/>
        <w:jc w:val="both"/>
        <w:rPr>
          <w:rFonts w:asciiTheme="majorBidi" w:eastAsia="AdvTimes" w:hAnsiTheme="majorBidi" w:cstheme="majorBidi"/>
          <w:b/>
          <w:bCs/>
          <w:sz w:val="20"/>
          <w:szCs w:val="20"/>
        </w:rPr>
      </w:pPr>
      <w:r w:rsidRPr="001A5200">
        <w:rPr>
          <w:rFonts w:asciiTheme="majorBidi" w:eastAsia="AdvTimes" w:hAnsiTheme="majorBidi" w:cstheme="majorBidi"/>
          <w:b/>
          <w:bCs/>
          <w:sz w:val="20"/>
          <w:szCs w:val="20"/>
        </w:rPr>
        <w:t>4.Results</w:t>
      </w:r>
    </w:p>
    <w:p w14:paraId="7799A912" w14:textId="77777777" w:rsidR="001A5200" w:rsidRPr="001A5200" w:rsidRDefault="001A5200" w:rsidP="00505EA3">
      <w:pPr>
        <w:bidi w:val="0"/>
        <w:spacing w:after="0" w:line="240" w:lineRule="auto"/>
        <w:ind w:firstLine="360"/>
        <w:jc w:val="both"/>
        <w:rPr>
          <w:rFonts w:asciiTheme="majorBidi" w:hAnsiTheme="majorBidi" w:cstheme="majorBidi"/>
          <w:sz w:val="20"/>
          <w:szCs w:val="20"/>
          <w:rtl/>
          <w:lang w:bidi="ar-EG"/>
        </w:rPr>
      </w:pPr>
      <w:r w:rsidRPr="001A5200">
        <w:rPr>
          <w:rFonts w:asciiTheme="majorBidi" w:hAnsiTheme="majorBidi" w:cstheme="majorBidi"/>
          <w:sz w:val="20"/>
          <w:szCs w:val="20"/>
        </w:rPr>
        <w:t>The age range of patients with AMI was 44–66 years, with a mean of 55.85± 5.49 years. The age range of patients with UA was 38–63 years, with a mean of 54.65± 7.79 years. The control group had an average age of 50.90± 8.64 years, with members ranging from 36–69 years. Of the AMI patients, there were 17 men and 3 females, making up 85 percent and 15 percent, respectively. In the UA group, men made up 75% (n=15) and females 25% (n=5), while in the control group, 60% (n=12) and 40% (n=8) of the participants were male. • The age distribution and sex distribution of the groups under study did not vary statistically significantly (p value &gt; 0.05). Table (1).</w:t>
      </w:r>
    </w:p>
    <w:p w14:paraId="45687B71" w14:textId="77777777" w:rsidR="00EA5D44" w:rsidRPr="001A5200" w:rsidRDefault="00EA5D44" w:rsidP="00505EA3">
      <w:pPr>
        <w:bidi w:val="0"/>
        <w:spacing w:after="0" w:line="240" w:lineRule="auto"/>
        <w:jc w:val="both"/>
        <w:rPr>
          <w:rFonts w:asciiTheme="majorBidi" w:eastAsia="AdvTimes" w:hAnsiTheme="majorBidi" w:cstheme="majorBidi"/>
          <w:b/>
          <w:bCs/>
          <w:sz w:val="20"/>
          <w:szCs w:val="20"/>
        </w:rPr>
        <w:sectPr w:rsidR="00EA5D44" w:rsidRPr="001A5200" w:rsidSect="00B83D64">
          <w:type w:val="continuous"/>
          <w:pgSz w:w="11909" w:h="16834" w:code="9"/>
          <w:pgMar w:top="1440" w:right="929" w:bottom="1440" w:left="1080" w:header="720" w:footer="720" w:gutter="0"/>
          <w:cols w:num="2" w:space="720"/>
          <w:docGrid w:linePitch="360"/>
        </w:sectPr>
      </w:pPr>
    </w:p>
    <w:p w14:paraId="3CE7B72E" w14:textId="77777777" w:rsidR="00EB11B1" w:rsidRPr="001A5200" w:rsidRDefault="00EB11B1" w:rsidP="00505EA3">
      <w:pPr>
        <w:shd w:val="clear" w:color="auto" w:fill="FFFFFF"/>
        <w:bidi w:val="0"/>
        <w:spacing w:after="0" w:line="240" w:lineRule="auto"/>
        <w:jc w:val="both"/>
        <w:textAlignment w:val="top"/>
        <w:rPr>
          <w:rFonts w:asciiTheme="majorBidi" w:hAnsiTheme="majorBidi" w:cstheme="majorBidi"/>
          <w:b/>
          <w:bCs/>
          <w:sz w:val="20"/>
          <w:szCs w:val="20"/>
        </w:rPr>
        <w:sectPr w:rsidR="00EB11B1" w:rsidRPr="001A5200" w:rsidSect="00B83D64">
          <w:type w:val="continuous"/>
          <w:pgSz w:w="11909" w:h="16834" w:code="9"/>
          <w:pgMar w:top="1440" w:right="929" w:bottom="1440" w:left="1080" w:header="720" w:footer="720" w:gutter="0"/>
          <w:cols w:space="720"/>
          <w:docGrid w:linePitch="360"/>
        </w:sectPr>
      </w:pPr>
    </w:p>
    <w:p w14:paraId="70E36530" w14:textId="0C619B93" w:rsidR="008840D9" w:rsidRPr="00D65590" w:rsidRDefault="00EB795A" w:rsidP="00505EA3">
      <w:pPr>
        <w:shd w:val="clear" w:color="auto" w:fill="FFFFFF"/>
        <w:bidi w:val="0"/>
        <w:spacing w:after="120" w:line="240" w:lineRule="auto"/>
        <w:jc w:val="both"/>
        <w:textAlignment w:val="top"/>
        <w:rPr>
          <w:rFonts w:asciiTheme="majorBidi" w:hAnsiTheme="majorBidi" w:cstheme="majorBidi"/>
          <w:sz w:val="20"/>
          <w:szCs w:val="20"/>
        </w:rPr>
      </w:pPr>
      <w:r w:rsidRPr="001A5200">
        <w:rPr>
          <w:rFonts w:asciiTheme="majorBidi" w:hAnsiTheme="majorBidi" w:cstheme="majorBidi"/>
          <w:b/>
          <w:bCs/>
          <w:sz w:val="20"/>
          <w:szCs w:val="20"/>
        </w:rPr>
        <w:t xml:space="preserve">Table (1) </w:t>
      </w:r>
      <w:r w:rsidRPr="00D65590">
        <w:rPr>
          <w:rFonts w:asciiTheme="majorBidi" w:hAnsiTheme="majorBidi" w:cstheme="majorBidi"/>
          <w:sz w:val="20"/>
          <w:szCs w:val="20"/>
        </w:rPr>
        <w:t>Groups' demographic information</w:t>
      </w:r>
      <w:r w:rsidR="00D65590">
        <w:rPr>
          <w:rFonts w:asciiTheme="majorBidi" w:hAnsiTheme="majorBidi" w:cstheme="majorBidi"/>
          <w:sz w:val="20"/>
          <w:szCs w:val="20"/>
        </w:rPr>
        <w:t>.</w:t>
      </w:r>
    </w:p>
    <w:tbl>
      <w:tblPr>
        <w:tblW w:w="5120" w:type="pct"/>
        <w:tblInd w:w="-252" w:type="dxa"/>
        <w:tblBorders>
          <w:top w:val="single" w:sz="4" w:space="0" w:color="auto"/>
          <w:bottom w:val="single" w:sz="4" w:space="0" w:color="auto"/>
        </w:tblBorders>
        <w:tblLayout w:type="fixed"/>
        <w:tblLook w:val="04A0" w:firstRow="1" w:lastRow="0" w:firstColumn="1" w:lastColumn="0" w:noHBand="0" w:noVBand="1"/>
      </w:tblPr>
      <w:tblGrid>
        <w:gridCol w:w="1043"/>
        <w:gridCol w:w="1671"/>
        <w:gridCol w:w="1050"/>
        <w:gridCol w:w="937"/>
        <w:gridCol w:w="673"/>
        <w:gridCol w:w="1073"/>
        <w:gridCol w:w="667"/>
        <w:gridCol w:w="1073"/>
        <w:gridCol w:w="1073"/>
        <w:gridCol w:w="878"/>
      </w:tblGrid>
      <w:tr w:rsidR="00505EA3" w:rsidRPr="001A5200" w14:paraId="6B7B5E9A" w14:textId="77777777" w:rsidTr="0053028A">
        <w:trPr>
          <w:trHeight w:val="170"/>
        </w:trPr>
        <w:tc>
          <w:tcPr>
            <w:tcW w:w="1339" w:type="pct"/>
            <w:gridSpan w:val="2"/>
            <w:vMerge w:val="restart"/>
            <w:tcBorders>
              <w:top w:val="single" w:sz="4" w:space="0" w:color="auto"/>
              <w:bottom w:val="single" w:sz="4" w:space="0" w:color="auto"/>
            </w:tcBorders>
            <w:shd w:val="clear" w:color="auto" w:fill="auto"/>
            <w:vAlign w:val="center"/>
          </w:tcPr>
          <w:p w14:paraId="4605F435" w14:textId="77777777" w:rsidR="00C81681" w:rsidRPr="001A5200" w:rsidRDefault="00C81681" w:rsidP="00505EA3">
            <w:pPr>
              <w:shd w:val="clear" w:color="auto" w:fill="FFFFFF"/>
              <w:bidi w:val="0"/>
              <w:spacing w:after="0" w:line="240" w:lineRule="auto"/>
              <w:jc w:val="both"/>
              <w:textAlignment w:val="top"/>
              <w:rPr>
                <w:rFonts w:asciiTheme="majorBidi" w:hAnsiTheme="majorBidi" w:cstheme="majorBidi"/>
                <w:b/>
                <w:bCs/>
                <w:sz w:val="20"/>
                <w:szCs w:val="20"/>
              </w:rPr>
            </w:pPr>
            <w:r w:rsidRPr="001A5200">
              <w:rPr>
                <w:rFonts w:asciiTheme="majorBidi" w:hAnsiTheme="majorBidi" w:cstheme="majorBidi"/>
                <w:b/>
                <w:bCs/>
                <w:sz w:val="20"/>
                <w:szCs w:val="20"/>
              </w:rPr>
              <w:t>Variable</w:t>
            </w:r>
          </w:p>
          <w:p w14:paraId="6D767396" w14:textId="77777777" w:rsidR="00C81681" w:rsidRPr="001A5200" w:rsidRDefault="00C81681" w:rsidP="00505EA3">
            <w:pPr>
              <w:shd w:val="clear" w:color="auto" w:fill="FFFFFF"/>
              <w:bidi w:val="0"/>
              <w:spacing w:after="0" w:line="240" w:lineRule="auto"/>
              <w:jc w:val="both"/>
              <w:textAlignment w:val="top"/>
              <w:rPr>
                <w:rFonts w:asciiTheme="majorBidi" w:hAnsiTheme="majorBidi" w:cstheme="majorBidi"/>
                <w:b/>
                <w:bCs/>
                <w:sz w:val="20"/>
                <w:szCs w:val="20"/>
              </w:rPr>
            </w:pPr>
          </w:p>
          <w:p w14:paraId="743D35A1" w14:textId="77777777" w:rsidR="00C81681" w:rsidRPr="001A5200" w:rsidRDefault="00C81681" w:rsidP="00505EA3">
            <w:pPr>
              <w:shd w:val="clear" w:color="auto" w:fill="FFFFFF"/>
              <w:bidi w:val="0"/>
              <w:spacing w:after="0" w:line="240" w:lineRule="auto"/>
              <w:jc w:val="both"/>
              <w:textAlignment w:val="top"/>
              <w:rPr>
                <w:rFonts w:asciiTheme="majorBidi" w:hAnsiTheme="majorBidi" w:cstheme="majorBidi"/>
                <w:b/>
                <w:bCs/>
                <w:sz w:val="20"/>
                <w:szCs w:val="20"/>
              </w:rPr>
            </w:pPr>
          </w:p>
        </w:tc>
        <w:tc>
          <w:tcPr>
            <w:tcW w:w="980" w:type="pct"/>
            <w:gridSpan w:val="2"/>
            <w:tcBorders>
              <w:top w:val="single" w:sz="4" w:space="0" w:color="auto"/>
              <w:bottom w:val="nil"/>
            </w:tcBorders>
            <w:shd w:val="clear" w:color="auto" w:fill="auto"/>
            <w:vAlign w:val="center"/>
            <w:hideMark/>
          </w:tcPr>
          <w:p w14:paraId="6B3F504E"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MI group</w:t>
            </w:r>
          </w:p>
          <w:p w14:paraId="76F8B30C"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(A)</w:t>
            </w:r>
          </w:p>
          <w:p w14:paraId="3DF9D729"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
                <w:bCs/>
                <w:sz w:val="20"/>
                <w:szCs w:val="20"/>
                <w:rtl/>
                <w:lang w:bidi="ar-EG"/>
              </w:rPr>
            </w:pPr>
            <w:r w:rsidRPr="001A5200">
              <w:rPr>
                <w:rFonts w:asciiTheme="majorBidi" w:hAnsiTheme="majorBidi" w:cstheme="majorBidi"/>
                <w:b/>
                <w:bCs/>
                <w:sz w:val="20"/>
                <w:szCs w:val="20"/>
              </w:rPr>
              <w:t>(N=20)</w:t>
            </w:r>
          </w:p>
        </w:tc>
        <w:tc>
          <w:tcPr>
            <w:tcW w:w="861" w:type="pct"/>
            <w:gridSpan w:val="2"/>
            <w:tcBorders>
              <w:top w:val="single" w:sz="4" w:space="0" w:color="auto"/>
              <w:bottom w:val="nil"/>
            </w:tcBorders>
            <w:shd w:val="clear" w:color="auto" w:fill="auto"/>
            <w:vAlign w:val="center"/>
          </w:tcPr>
          <w:p w14:paraId="34C006DA"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UA group</w:t>
            </w:r>
          </w:p>
          <w:p w14:paraId="45D3B38F"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(B)</w:t>
            </w:r>
          </w:p>
          <w:p w14:paraId="659C5109"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(N=20)</w:t>
            </w:r>
          </w:p>
        </w:tc>
        <w:tc>
          <w:tcPr>
            <w:tcW w:w="858" w:type="pct"/>
            <w:gridSpan w:val="2"/>
            <w:tcBorders>
              <w:top w:val="single" w:sz="4" w:space="0" w:color="auto"/>
              <w:bottom w:val="nil"/>
            </w:tcBorders>
            <w:shd w:val="clear" w:color="auto" w:fill="auto"/>
            <w:vAlign w:val="center"/>
            <w:hideMark/>
          </w:tcPr>
          <w:p w14:paraId="38DDA92D"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 xml:space="preserve">Control </w:t>
            </w:r>
            <w:proofErr w:type="gramStart"/>
            <w:r w:rsidRPr="001A5200">
              <w:rPr>
                <w:rFonts w:asciiTheme="majorBidi" w:hAnsiTheme="majorBidi" w:cstheme="majorBidi"/>
                <w:b/>
                <w:bCs/>
                <w:sz w:val="20"/>
                <w:szCs w:val="20"/>
              </w:rPr>
              <w:t>group</w:t>
            </w:r>
            <w:proofErr w:type="gramEnd"/>
          </w:p>
          <w:p w14:paraId="2AAFF432"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(C)</w:t>
            </w:r>
          </w:p>
          <w:p w14:paraId="3B37FBA1"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(N=20)</w:t>
            </w:r>
          </w:p>
        </w:tc>
        <w:tc>
          <w:tcPr>
            <w:tcW w:w="529" w:type="pct"/>
            <w:vMerge w:val="restart"/>
            <w:tcBorders>
              <w:top w:val="single" w:sz="4" w:space="0" w:color="auto"/>
              <w:bottom w:val="nil"/>
            </w:tcBorders>
            <w:shd w:val="clear" w:color="auto" w:fill="auto"/>
            <w:vAlign w:val="center"/>
            <w:hideMark/>
          </w:tcPr>
          <w:p w14:paraId="6DBD24AE"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Test value</w:t>
            </w:r>
          </w:p>
        </w:tc>
        <w:tc>
          <w:tcPr>
            <w:tcW w:w="433" w:type="pct"/>
            <w:vMerge w:val="restart"/>
            <w:tcBorders>
              <w:top w:val="single" w:sz="4" w:space="0" w:color="auto"/>
              <w:bottom w:val="nil"/>
            </w:tcBorders>
            <w:shd w:val="clear" w:color="auto" w:fill="auto"/>
            <w:vAlign w:val="center"/>
          </w:tcPr>
          <w:p w14:paraId="0C351536"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P-value</w:t>
            </w:r>
          </w:p>
        </w:tc>
      </w:tr>
      <w:tr w:rsidR="00505EA3" w:rsidRPr="001A5200" w14:paraId="56E3EC1E" w14:textId="77777777" w:rsidTr="0053028A">
        <w:trPr>
          <w:trHeight w:val="53"/>
        </w:trPr>
        <w:tc>
          <w:tcPr>
            <w:tcW w:w="1339" w:type="pct"/>
            <w:gridSpan w:val="2"/>
            <w:vMerge/>
            <w:tcBorders>
              <w:top w:val="nil"/>
              <w:bottom w:val="single" w:sz="4" w:space="0" w:color="auto"/>
            </w:tcBorders>
            <w:shd w:val="clear" w:color="auto" w:fill="auto"/>
            <w:vAlign w:val="center"/>
          </w:tcPr>
          <w:p w14:paraId="76E93DAB" w14:textId="77777777" w:rsidR="00C81681" w:rsidRPr="001A5200" w:rsidRDefault="00C81681" w:rsidP="00505EA3">
            <w:pPr>
              <w:shd w:val="clear" w:color="auto" w:fill="FFFFFF"/>
              <w:bidi w:val="0"/>
              <w:spacing w:after="0" w:line="240" w:lineRule="auto"/>
              <w:jc w:val="both"/>
              <w:textAlignment w:val="top"/>
              <w:rPr>
                <w:rFonts w:asciiTheme="majorBidi" w:hAnsiTheme="majorBidi" w:cstheme="majorBidi"/>
                <w:b/>
                <w:bCs/>
                <w:sz w:val="20"/>
                <w:szCs w:val="20"/>
              </w:rPr>
            </w:pPr>
          </w:p>
        </w:tc>
        <w:tc>
          <w:tcPr>
            <w:tcW w:w="518" w:type="pct"/>
            <w:tcBorders>
              <w:top w:val="nil"/>
              <w:bottom w:val="single" w:sz="4" w:space="0" w:color="auto"/>
            </w:tcBorders>
            <w:shd w:val="clear" w:color="auto" w:fill="auto"/>
            <w:vAlign w:val="center"/>
          </w:tcPr>
          <w:p w14:paraId="6CEFAF8C"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No.</w:t>
            </w:r>
          </w:p>
        </w:tc>
        <w:tc>
          <w:tcPr>
            <w:tcW w:w="462" w:type="pct"/>
            <w:tcBorders>
              <w:top w:val="nil"/>
              <w:bottom w:val="single" w:sz="4" w:space="0" w:color="auto"/>
            </w:tcBorders>
            <w:shd w:val="clear" w:color="auto" w:fill="auto"/>
            <w:vAlign w:val="center"/>
          </w:tcPr>
          <w:p w14:paraId="422E7363"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w:t>
            </w:r>
          </w:p>
        </w:tc>
        <w:tc>
          <w:tcPr>
            <w:tcW w:w="332" w:type="pct"/>
            <w:tcBorders>
              <w:top w:val="nil"/>
              <w:bottom w:val="single" w:sz="4" w:space="0" w:color="auto"/>
            </w:tcBorders>
            <w:shd w:val="clear" w:color="auto" w:fill="auto"/>
            <w:vAlign w:val="center"/>
          </w:tcPr>
          <w:p w14:paraId="0B0D7B9A"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No.</w:t>
            </w:r>
          </w:p>
        </w:tc>
        <w:tc>
          <w:tcPr>
            <w:tcW w:w="529" w:type="pct"/>
            <w:tcBorders>
              <w:top w:val="nil"/>
              <w:bottom w:val="single" w:sz="4" w:space="0" w:color="auto"/>
            </w:tcBorders>
            <w:shd w:val="clear" w:color="auto" w:fill="auto"/>
            <w:vAlign w:val="center"/>
          </w:tcPr>
          <w:p w14:paraId="1F4B863C"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w:t>
            </w:r>
          </w:p>
        </w:tc>
        <w:tc>
          <w:tcPr>
            <w:tcW w:w="329" w:type="pct"/>
            <w:tcBorders>
              <w:top w:val="nil"/>
              <w:bottom w:val="single" w:sz="4" w:space="0" w:color="auto"/>
            </w:tcBorders>
            <w:shd w:val="clear" w:color="auto" w:fill="auto"/>
            <w:vAlign w:val="center"/>
          </w:tcPr>
          <w:p w14:paraId="2F69639F"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No.</w:t>
            </w:r>
          </w:p>
        </w:tc>
        <w:tc>
          <w:tcPr>
            <w:tcW w:w="529" w:type="pct"/>
            <w:tcBorders>
              <w:top w:val="nil"/>
              <w:bottom w:val="single" w:sz="4" w:space="0" w:color="auto"/>
            </w:tcBorders>
            <w:shd w:val="clear" w:color="auto" w:fill="auto"/>
            <w:vAlign w:val="center"/>
          </w:tcPr>
          <w:p w14:paraId="791F8A99"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w:t>
            </w:r>
          </w:p>
        </w:tc>
        <w:tc>
          <w:tcPr>
            <w:tcW w:w="529" w:type="pct"/>
            <w:vMerge/>
            <w:tcBorders>
              <w:top w:val="nil"/>
              <w:bottom w:val="single" w:sz="4" w:space="0" w:color="auto"/>
            </w:tcBorders>
            <w:shd w:val="clear" w:color="auto" w:fill="auto"/>
            <w:vAlign w:val="center"/>
          </w:tcPr>
          <w:p w14:paraId="4A15067E"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sz w:val="20"/>
                <w:szCs w:val="20"/>
              </w:rPr>
            </w:pPr>
          </w:p>
        </w:tc>
        <w:tc>
          <w:tcPr>
            <w:tcW w:w="433" w:type="pct"/>
            <w:vMerge/>
            <w:tcBorders>
              <w:top w:val="nil"/>
              <w:bottom w:val="single" w:sz="4" w:space="0" w:color="auto"/>
            </w:tcBorders>
            <w:shd w:val="clear" w:color="auto" w:fill="auto"/>
          </w:tcPr>
          <w:p w14:paraId="23A6F3CE"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sz w:val="20"/>
                <w:szCs w:val="20"/>
              </w:rPr>
            </w:pPr>
          </w:p>
        </w:tc>
      </w:tr>
      <w:tr w:rsidR="000E6E03" w:rsidRPr="001A5200" w14:paraId="4461DE37" w14:textId="77777777" w:rsidTr="001A5200">
        <w:tc>
          <w:tcPr>
            <w:tcW w:w="515" w:type="pct"/>
            <w:vMerge w:val="restart"/>
            <w:tcBorders>
              <w:top w:val="single" w:sz="4" w:space="0" w:color="auto"/>
            </w:tcBorders>
            <w:shd w:val="clear" w:color="auto" w:fill="auto"/>
            <w:vAlign w:val="center"/>
            <w:hideMark/>
          </w:tcPr>
          <w:p w14:paraId="00E62347" w14:textId="77777777" w:rsidR="00C81681" w:rsidRPr="001A5200" w:rsidRDefault="00C81681" w:rsidP="00505EA3">
            <w:pPr>
              <w:shd w:val="clear" w:color="auto" w:fill="FFFFFF"/>
              <w:bidi w:val="0"/>
              <w:spacing w:after="0" w:line="240" w:lineRule="auto"/>
              <w:jc w:val="both"/>
              <w:textAlignment w:val="top"/>
              <w:rPr>
                <w:rFonts w:asciiTheme="majorBidi" w:hAnsiTheme="majorBidi" w:cstheme="majorBidi"/>
                <w:b/>
                <w:bCs/>
                <w:sz w:val="20"/>
                <w:szCs w:val="20"/>
              </w:rPr>
            </w:pPr>
            <w:r w:rsidRPr="001A5200">
              <w:rPr>
                <w:rFonts w:asciiTheme="majorBidi" w:hAnsiTheme="majorBidi" w:cstheme="majorBidi"/>
                <w:b/>
                <w:bCs/>
                <w:sz w:val="20"/>
                <w:szCs w:val="20"/>
              </w:rPr>
              <w:t>Gender</w:t>
            </w:r>
          </w:p>
        </w:tc>
        <w:tc>
          <w:tcPr>
            <w:tcW w:w="824" w:type="pct"/>
            <w:tcBorders>
              <w:top w:val="single" w:sz="4" w:space="0" w:color="auto"/>
            </w:tcBorders>
            <w:shd w:val="clear" w:color="auto" w:fill="auto"/>
            <w:vAlign w:val="center"/>
            <w:hideMark/>
          </w:tcPr>
          <w:p w14:paraId="17E40F3F" w14:textId="77777777" w:rsidR="00C81681" w:rsidRPr="001A5200" w:rsidRDefault="00C81681" w:rsidP="00505EA3">
            <w:pPr>
              <w:shd w:val="clear" w:color="auto" w:fill="FFFFFF"/>
              <w:bidi w:val="0"/>
              <w:spacing w:after="0" w:line="240" w:lineRule="auto"/>
              <w:jc w:val="both"/>
              <w:textAlignment w:val="top"/>
              <w:rPr>
                <w:rFonts w:asciiTheme="majorBidi" w:hAnsiTheme="majorBidi" w:cstheme="majorBidi"/>
                <w:b/>
                <w:bCs/>
                <w:sz w:val="20"/>
                <w:szCs w:val="20"/>
              </w:rPr>
            </w:pPr>
            <w:r w:rsidRPr="001A5200">
              <w:rPr>
                <w:rFonts w:asciiTheme="majorBidi" w:hAnsiTheme="majorBidi" w:cstheme="majorBidi"/>
                <w:b/>
                <w:bCs/>
                <w:sz w:val="20"/>
                <w:szCs w:val="20"/>
              </w:rPr>
              <w:t>Male</w:t>
            </w:r>
          </w:p>
        </w:tc>
        <w:tc>
          <w:tcPr>
            <w:tcW w:w="518" w:type="pct"/>
            <w:tcBorders>
              <w:top w:val="single" w:sz="4" w:space="0" w:color="auto"/>
            </w:tcBorders>
            <w:shd w:val="clear" w:color="auto" w:fill="auto"/>
          </w:tcPr>
          <w:p w14:paraId="23299D0F"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17</w:t>
            </w:r>
          </w:p>
        </w:tc>
        <w:tc>
          <w:tcPr>
            <w:tcW w:w="462" w:type="pct"/>
            <w:tcBorders>
              <w:top w:val="single" w:sz="4" w:space="0" w:color="auto"/>
            </w:tcBorders>
            <w:shd w:val="clear" w:color="auto" w:fill="auto"/>
          </w:tcPr>
          <w:p w14:paraId="0E7B1E22"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85.0%</w:t>
            </w:r>
          </w:p>
        </w:tc>
        <w:tc>
          <w:tcPr>
            <w:tcW w:w="332" w:type="pct"/>
            <w:tcBorders>
              <w:top w:val="single" w:sz="4" w:space="0" w:color="auto"/>
            </w:tcBorders>
            <w:shd w:val="clear" w:color="auto" w:fill="auto"/>
          </w:tcPr>
          <w:p w14:paraId="243FB9BC"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15</w:t>
            </w:r>
          </w:p>
        </w:tc>
        <w:tc>
          <w:tcPr>
            <w:tcW w:w="529" w:type="pct"/>
            <w:tcBorders>
              <w:top w:val="single" w:sz="4" w:space="0" w:color="auto"/>
            </w:tcBorders>
            <w:shd w:val="clear" w:color="auto" w:fill="auto"/>
          </w:tcPr>
          <w:p w14:paraId="3BC5260B"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75.0%</w:t>
            </w:r>
          </w:p>
        </w:tc>
        <w:tc>
          <w:tcPr>
            <w:tcW w:w="329" w:type="pct"/>
            <w:tcBorders>
              <w:top w:val="single" w:sz="4" w:space="0" w:color="auto"/>
            </w:tcBorders>
            <w:shd w:val="clear" w:color="auto" w:fill="auto"/>
          </w:tcPr>
          <w:p w14:paraId="155153CB"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12</w:t>
            </w:r>
          </w:p>
        </w:tc>
        <w:tc>
          <w:tcPr>
            <w:tcW w:w="529" w:type="pct"/>
            <w:tcBorders>
              <w:top w:val="single" w:sz="4" w:space="0" w:color="auto"/>
            </w:tcBorders>
            <w:shd w:val="clear" w:color="auto" w:fill="auto"/>
          </w:tcPr>
          <w:p w14:paraId="6C08622B"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60.0%</w:t>
            </w:r>
          </w:p>
        </w:tc>
        <w:tc>
          <w:tcPr>
            <w:tcW w:w="529" w:type="pct"/>
            <w:vMerge w:val="restart"/>
            <w:tcBorders>
              <w:top w:val="single" w:sz="4" w:space="0" w:color="auto"/>
            </w:tcBorders>
            <w:shd w:val="clear" w:color="auto" w:fill="auto"/>
            <w:vAlign w:val="center"/>
          </w:tcPr>
          <w:p w14:paraId="18AAFA25"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sz w:val="20"/>
                <w:szCs w:val="20"/>
              </w:rPr>
            </w:pPr>
            <w:r w:rsidRPr="001A5200">
              <w:rPr>
                <w:rFonts w:asciiTheme="majorBidi" w:hAnsiTheme="majorBidi" w:cstheme="majorBidi"/>
                <w:sz w:val="20"/>
                <w:szCs w:val="20"/>
              </w:rPr>
              <w:t>X</w:t>
            </w:r>
            <w:r w:rsidRPr="001A5200">
              <w:rPr>
                <w:rFonts w:asciiTheme="majorBidi" w:hAnsiTheme="majorBidi" w:cstheme="majorBidi"/>
                <w:sz w:val="20"/>
                <w:szCs w:val="20"/>
                <w:vertAlign w:val="superscript"/>
              </w:rPr>
              <w:t>2</w:t>
            </w:r>
            <w:r w:rsidRPr="001A5200">
              <w:rPr>
                <w:rFonts w:asciiTheme="majorBidi" w:hAnsiTheme="majorBidi" w:cstheme="majorBidi"/>
                <w:sz w:val="20"/>
                <w:szCs w:val="20"/>
              </w:rPr>
              <w:t>= 3.239</w:t>
            </w:r>
          </w:p>
        </w:tc>
        <w:tc>
          <w:tcPr>
            <w:tcW w:w="433" w:type="pct"/>
            <w:vMerge w:val="restart"/>
            <w:tcBorders>
              <w:top w:val="single" w:sz="4" w:space="0" w:color="auto"/>
            </w:tcBorders>
            <w:shd w:val="clear" w:color="auto" w:fill="auto"/>
            <w:vAlign w:val="center"/>
          </w:tcPr>
          <w:p w14:paraId="724B0DEB"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sz w:val="20"/>
                <w:szCs w:val="20"/>
              </w:rPr>
            </w:pPr>
            <w:r w:rsidRPr="001A5200">
              <w:rPr>
                <w:rFonts w:asciiTheme="majorBidi" w:hAnsiTheme="majorBidi" w:cstheme="majorBidi"/>
                <w:sz w:val="20"/>
                <w:szCs w:val="20"/>
              </w:rPr>
              <w:t>0.198</w:t>
            </w:r>
          </w:p>
        </w:tc>
      </w:tr>
      <w:tr w:rsidR="000E6E03" w:rsidRPr="001A5200" w14:paraId="7EBEBC78" w14:textId="77777777" w:rsidTr="001A5200">
        <w:trPr>
          <w:trHeight w:val="160"/>
        </w:trPr>
        <w:tc>
          <w:tcPr>
            <w:tcW w:w="515" w:type="pct"/>
            <w:vMerge/>
            <w:shd w:val="clear" w:color="auto" w:fill="auto"/>
            <w:vAlign w:val="center"/>
            <w:hideMark/>
          </w:tcPr>
          <w:p w14:paraId="7996C8E8" w14:textId="77777777" w:rsidR="00C81681" w:rsidRPr="001A5200" w:rsidRDefault="00C81681" w:rsidP="00505EA3">
            <w:pPr>
              <w:shd w:val="clear" w:color="auto" w:fill="FFFFFF"/>
              <w:bidi w:val="0"/>
              <w:spacing w:after="0" w:line="240" w:lineRule="auto"/>
              <w:jc w:val="both"/>
              <w:textAlignment w:val="top"/>
              <w:rPr>
                <w:rFonts w:asciiTheme="majorBidi" w:hAnsiTheme="majorBidi" w:cstheme="majorBidi"/>
                <w:b/>
                <w:bCs/>
                <w:sz w:val="20"/>
                <w:szCs w:val="20"/>
              </w:rPr>
            </w:pPr>
          </w:p>
        </w:tc>
        <w:tc>
          <w:tcPr>
            <w:tcW w:w="824" w:type="pct"/>
            <w:shd w:val="clear" w:color="auto" w:fill="auto"/>
            <w:vAlign w:val="center"/>
            <w:hideMark/>
          </w:tcPr>
          <w:p w14:paraId="28A65FD3" w14:textId="365DB30B" w:rsidR="00C81681" w:rsidRPr="001A5200" w:rsidRDefault="00C81681" w:rsidP="00505EA3">
            <w:pPr>
              <w:shd w:val="clear" w:color="auto" w:fill="FFFFFF"/>
              <w:bidi w:val="0"/>
              <w:spacing w:after="0" w:line="240" w:lineRule="auto"/>
              <w:jc w:val="both"/>
              <w:textAlignment w:val="top"/>
              <w:rPr>
                <w:rFonts w:asciiTheme="majorBidi" w:hAnsiTheme="majorBidi" w:cstheme="majorBidi"/>
                <w:b/>
                <w:bCs/>
                <w:sz w:val="20"/>
                <w:szCs w:val="20"/>
              </w:rPr>
            </w:pPr>
            <w:r w:rsidRPr="001A5200">
              <w:rPr>
                <w:rFonts w:asciiTheme="majorBidi" w:hAnsiTheme="majorBidi" w:cstheme="majorBidi"/>
                <w:b/>
                <w:bCs/>
                <w:sz w:val="20"/>
                <w:szCs w:val="20"/>
              </w:rPr>
              <w:t>Female</w:t>
            </w:r>
          </w:p>
        </w:tc>
        <w:tc>
          <w:tcPr>
            <w:tcW w:w="518" w:type="pct"/>
            <w:shd w:val="clear" w:color="auto" w:fill="auto"/>
          </w:tcPr>
          <w:p w14:paraId="11B6D8BA"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3</w:t>
            </w:r>
          </w:p>
        </w:tc>
        <w:tc>
          <w:tcPr>
            <w:tcW w:w="462" w:type="pct"/>
            <w:shd w:val="clear" w:color="auto" w:fill="auto"/>
          </w:tcPr>
          <w:p w14:paraId="2EA51E74"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15.0%</w:t>
            </w:r>
          </w:p>
        </w:tc>
        <w:tc>
          <w:tcPr>
            <w:tcW w:w="332" w:type="pct"/>
            <w:shd w:val="clear" w:color="auto" w:fill="auto"/>
          </w:tcPr>
          <w:p w14:paraId="0F8E1B8A"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5</w:t>
            </w:r>
          </w:p>
        </w:tc>
        <w:tc>
          <w:tcPr>
            <w:tcW w:w="529" w:type="pct"/>
            <w:shd w:val="clear" w:color="auto" w:fill="auto"/>
          </w:tcPr>
          <w:p w14:paraId="59C336FA"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25.0%</w:t>
            </w:r>
          </w:p>
        </w:tc>
        <w:tc>
          <w:tcPr>
            <w:tcW w:w="329" w:type="pct"/>
            <w:shd w:val="clear" w:color="auto" w:fill="auto"/>
          </w:tcPr>
          <w:p w14:paraId="3120F75A"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8</w:t>
            </w:r>
          </w:p>
        </w:tc>
        <w:tc>
          <w:tcPr>
            <w:tcW w:w="529" w:type="pct"/>
            <w:shd w:val="clear" w:color="auto" w:fill="auto"/>
          </w:tcPr>
          <w:p w14:paraId="58BE0C10"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40.0%</w:t>
            </w:r>
          </w:p>
        </w:tc>
        <w:tc>
          <w:tcPr>
            <w:tcW w:w="529" w:type="pct"/>
            <w:vMerge/>
            <w:shd w:val="clear" w:color="auto" w:fill="auto"/>
            <w:vAlign w:val="center"/>
          </w:tcPr>
          <w:p w14:paraId="0DE1AFE3"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sz w:val="20"/>
                <w:szCs w:val="20"/>
              </w:rPr>
            </w:pPr>
          </w:p>
        </w:tc>
        <w:tc>
          <w:tcPr>
            <w:tcW w:w="433" w:type="pct"/>
            <w:vMerge/>
            <w:shd w:val="clear" w:color="auto" w:fill="auto"/>
          </w:tcPr>
          <w:p w14:paraId="2625446C"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sz w:val="20"/>
                <w:szCs w:val="20"/>
              </w:rPr>
            </w:pPr>
          </w:p>
        </w:tc>
      </w:tr>
      <w:tr w:rsidR="00505EA3" w:rsidRPr="001A5200" w14:paraId="0CAA5482" w14:textId="77777777" w:rsidTr="001A5200">
        <w:tc>
          <w:tcPr>
            <w:tcW w:w="515" w:type="pct"/>
            <w:vMerge w:val="restart"/>
            <w:shd w:val="clear" w:color="auto" w:fill="auto"/>
            <w:vAlign w:val="center"/>
            <w:hideMark/>
          </w:tcPr>
          <w:p w14:paraId="7651549B" w14:textId="77777777" w:rsidR="00C81681" w:rsidRPr="001A5200" w:rsidRDefault="00C81681" w:rsidP="00505EA3">
            <w:pPr>
              <w:shd w:val="clear" w:color="auto" w:fill="FFFFFF"/>
              <w:bidi w:val="0"/>
              <w:spacing w:after="0" w:line="240" w:lineRule="auto"/>
              <w:jc w:val="both"/>
              <w:textAlignment w:val="top"/>
              <w:rPr>
                <w:rFonts w:asciiTheme="majorBidi" w:hAnsiTheme="majorBidi" w:cstheme="majorBidi"/>
                <w:b/>
                <w:bCs/>
                <w:sz w:val="20"/>
                <w:szCs w:val="20"/>
              </w:rPr>
            </w:pPr>
            <w:r w:rsidRPr="001A5200">
              <w:rPr>
                <w:rFonts w:asciiTheme="majorBidi" w:hAnsiTheme="majorBidi" w:cstheme="majorBidi"/>
                <w:b/>
                <w:bCs/>
                <w:sz w:val="20"/>
                <w:szCs w:val="20"/>
              </w:rPr>
              <w:t>Age (years)</w:t>
            </w:r>
          </w:p>
        </w:tc>
        <w:tc>
          <w:tcPr>
            <w:tcW w:w="824" w:type="pct"/>
            <w:shd w:val="clear" w:color="auto" w:fill="auto"/>
            <w:vAlign w:val="center"/>
            <w:hideMark/>
          </w:tcPr>
          <w:p w14:paraId="2927B8D1" w14:textId="77777777" w:rsidR="00C81681" w:rsidRPr="001A5200" w:rsidRDefault="00C81681" w:rsidP="00505EA3">
            <w:pPr>
              <w:shd w:val="clear" w:color="auto" w:fill="FFFFFF"/>
              <w:bidi w:val="0"/>
              <w:spacing w:after="0" w:line="240" w:lineRule="auto"/>
              <w:jc w:val="both"/>
              <w:textAlignment w:val="top"/>
              <w:rPr>
                <w:rFonts w:asciiTheme="majorBidi" w:hAnsiTheme="majorBidi" w:cstheme="majorBidi"/>
                <w:b/>
                <w:bCs/>
                <w:sz w:val="20"/>
                <w:szCs w:val="20"/>
              </w:rPr>
            </w:pPr>
            <w:r w:rsidRPr="001A5200">
              <w:rPr>
                <w:rFonts w:asciiTheme="majorBidi" w:hAnsiTheme="majorBidi" w:cstheme="majorBidi"/>
                <w:b/>
                <w:bCs/>
                <w:sz w:val="20"/>
                <w:szCs w:val="20"/>
              </w:rPr>
              <w:t>Mean± SD</w:t>
            </w:r>
          </w:p>
        </w:tc>
        <w:tc>
          <w:tcPr>
            <w:tcW w:w="980" w:type="pct"/>
            <w:gridSpan w:val="2"/>
            <w:shd w:val="clear" w:color="auto" w:fill="auto"/>
            <w:vAlign w:val="center"/>
          </w:tcPr>
          <w:p w14:paraId="73EA032A"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55.85± 5.49</w:t>
            </w:r>
          </w:p>
        </w:tc>
        <w:tc>
          <w:tcPr>
            <w:tcW w:w="861" w:type="pct"/>
            <w:gridSpan w:val="2"/>
            <w:shd w:val="clear" w:color="auto" w:fill="auto"/>
            <w:vAlign w:val="center"/>
          </w:tcPr>
          <w:p w14:paraId="738848E8"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54.65± 7.79</w:t>
            </w:r>
          </w:p>
        </w:tc>
        <w:tc>
          <w:tcPr>
            <w:tcW w:w="858" w:type="pct"/>
            <w:gridSpan w:val="2"/>
            <w:shd w:val="clear" w:color="auto" w:fill="auto"/>
            <w:vAlign w:val="center"/>
          </w:tcPr>
          <w:p w14:paraId="4E61E6CA"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50.90± 8.64</w:t>
            </w:r>
          </w:p>
        </w:tc>
        <w:tc>
          <w:tcPr>
            <w:tcW w:w="529" w:type="pct"/>
            <w:vMerge w:val="restart"/>
            <w:shd w:val="clear" w:color="auto" w:fill="auto"/>
            <w:vAlign w:val="center"/>
          </w:tcPr>
          <w:p w14:paraId="1CDFACA0"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i/>
                <w:iCs/>
                <w:sz w:val="20"/>
                <w:szCs w:val="20"/>
              </w:rPr>
              <w:t>F</w:t>
            </w:r>
            <w:r w:rsidRPr="001A5200">
              <w:rPr>
                <w:rFonts w:asciiTheme="majorBidi" w:hAnsiTheme="majorBidi" w:cstheme="majorBidi"/>
                <w:bCs/>
                <w:sz w:val="20"/>
                <w:szCs w:val="20"/>
              </w:rPr>
              <w:t>= 2.418</w:t>
            </w:r>
          </w:p>
        </w:tc>
        <w:tc>
          <w:tcPr>
            <w:tcW w:w="433" w:type="pct"/>
            <w:vMerge w:val="restart"/>
            <w:shd w:val="clear" w:color="auto" w:fill="auto"/>
            <w:vAlign w:val="center"/>
          </w:tcPr>
          <w:p w14:paraId="4BEE366A"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sz w:val="20"/>
                <w:szCs w:val="20"/>
              </w:rPr>
            </w:pPr>
            <w:r w:rsidRPr="001A5200">
              <w:rPr>
                <w:rFonts w:asciiTheme="majorBidi" w:hAnsiTheme="majorBidi" w:cstheme="majorBidi"/>
                <w:sz w:val="20"/>
                <w:szCs w:val="20"/>
              </w:rPr>
              <w:t>0.098</w:t>
            </w:r>
          </w:p>
        </w:tc>
      </w:tr>
      <w:tr w:rsidR="00505EA3" w:rsidRPr="001A5200" w14:paraId="2D71ED13" w14:textId="77777777" w:rsidTr="001A5200">
        <w:tc>
          <w:tcPr>
            <w:tcW w:w="515" w:type="pct"/>
            <w:vMerge/>
            <w:shd w:val="clear" w:color="auto" w:fill="auto"/>
            <w:vAlign w:val="center"/>
          </w:tcPr>
          <w:p w14:paraId="7D78A416" w14:textId="77777777" w:rsidR="00C81681" w:rsidRPr="001A5200" w:rsidRDefault="00C81681" w:rsidP="00505EA3">
            <w:pPr>
              <w:shd w:val="clear" w:color="auto" w:fill="FFFFFF"/>
              <w:bidi w:val="0"/>
              <w:spacing w:after="0" w:line="240" w:lineRule="auto"/>
              <w:jc w:val="both"/>
              <w:textAlignment w:val="top"/>
              <w:rPr>
                <w:rFonts w:asciiTheme="majorBidi" w:hAnsiTheme="majorBidi" w:cstheme="majorBidi"/>
                <w:b/>
                <w:bCs/>
                <w:sz w:val="20"/>
                <w:szCs w:val="20"/>
              </w:rPr>
            </w:pPr>
          </w:p>
        </w:tc>
        <w:tc>
          <w:tcPr>
            <w:tcW w:w="824" w:type="pct"/>
            <w:shd w:val="clear" w:color="auto" w:fill="auto"/>
            <w:vAlign w:val="center"/>
          </w:tcPr>
          <w:p w14:paraId="183BEE49" w14:textId="77777777" w:rsidR="00C81681" w:rsidRPr="001A5200" w:rsidRDefault="00C81681" w:rsidP="00505EA3">
            <w:pPr>
              <w:shd w:val="clear" w:color="auto" w:fill="FFFFFF"/>
              <w:bidi w:val="0"/>
              <w:spacing w:after="0" w:line="240" w:lineRule="auto"/>
              <w:jc w:val="both"/>
              <w:textAlignment w:val="top"/>
              <w:rPr>
                <w:rFonts w:asciiTheme="majorBidi" w:hAnsiTheme="majorBidi" w:cstheme="majorBidi"/>
                <w:b/>
                <w:sz w:val="20"/>
                <w:szCs w:val="20"/>
              </w:rPr>
            </w:pPr>
            <w:r w:rsidRPr="001A5200">
              <w:rPr>
                <w:rFonts w:asciiTheme="majorBidi" w:hAnsiTheme="majorBidi" w:cstheme="majorBidi"/>
                <w:b/>
                <w:sz w:val="20"/>
                <w:szCs w:val="20"/>
              </w:rPr>
              <w:t>Median (IQR)</w:t>
            </w:r>
          </w:p>
        </w:tc>
        <w:tc>
          <w:tcPr>
            <w:tcW w:w="980" w:type="pct"/>
            <w:gridSpan w:val="2"/>
            <w:shd w:val="clear" w:color="auto" w:fill="auto"/>
            <w:vAlign w:val="center"/>
          </w:tcPr>
          <w:p w14:paraId="4E311799"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56.0 (52.5-60.0)</w:t>
            </w:r>
          </w:p>
        </w:tc>
        <w:tc>
          <w:tcPr>
            <w:tcW w:w="861" w:type="pct"/>
            <w:gridSpan w:val="2"/>
            <w:shd w:val="clear" w:color="auto" w:fill="auto"/>
            <w:vAlign w:val="center"/>
          </w:tcPr>
          <w:p w14:paraId="4C632172"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57.0 (51.5-60.0)</w:t>
            </w:r>
          </w:p>
        </w:tc>
        <w:tc>
          <w:tcPr>
            <w:tcW w:w="858" w:type="pct"/>
            <w:gridSpan w:val="2"/>
            <w:shd w:val="clear" w:color="auto" w:fill="auto"/>
            <w:vAlign w:val="center"/>
          </w:tcPr>
          <w:p w14:paraId="1206FC97"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52.5 (43.5-56.0)</w:t>
            </w:r>
          </w:p>
        </w:tc>
        <w:tc>
          <w:tcPr>
            <w:tcW w:w="529" w:type="pct"/>
            <w:vMerge/>
            <w:shd w:val="clear" w:color="auto" w:fill="auto"/>
            <w:vAlign w:val="center"/>
          </w:tcPr>
          <w:p w14:paraId="3114EF18"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sz w:val="20"/>
                <w:szCs w:val="20"/>
              </w:rPr>
            </w:pPr>
          </w:p>
        </w:tc>
        <w:tc>
          <w:tcPr>
            <w:tcW w:w="433" w:type="pct"/>
            <w:vMerge/>
            <w:shd w:val="clear" w:color="auto" w:fill="auto"/>
            <w:vAlign w:val="center"/>
          </w:tcPr>
          <w:p w14:paraId="0B253514"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sz w:val="20"/>
                <w:szCs w:val="20"/>
              </w:rPr>
            </w:pPr>
          </w:p>
        </w:tc>
      </w:tr>
      <w:tr w:rsidR="00505EA3" w:rsidRPr="001A5200" w14:paraId="5D65E4CD" w14:textId="77777777" w:rsidTr="001A5200">
        <w:tc>
          <w:tcPr>
            <w:tcW w:w="515" w:type="pct"/>
            <w:vMerge/>
            <w:shd w:val="clear" w:color="auto" w:fill="auto"/>
            <w:vAlign w:val="center"/>
            <w:hideMark/>
          </w:tcPr>
          <w:p w14:paraId="06A0BD36" w14:textId="77777777" w:rsidR="00C81681" w:rsidRPr="001A5200" w:rsidRDefault="00C81681" w:rsidP="00505EA3">
            <w:pPr>
              <w:shd w:val="clear" w:color="auto" w:fill="FFFFFF"/>
              <w:bidi w:val="0"/>
              <w:spacing w:after="0" w:line="240" w:lineRule="auto"/>
              <w:jc w:val="both"/>
              <w:textAlignment w:val="top"/>
              <w:rPr>
                <w:rFonts w:asciiTheme="majorBidi" w:hAnsiTheme="majorBidi" w:cstheme="majorBidi"/>
                <w:b/>
                <w:bCs/>
                <w:sz w:val="20"/>
                <w:szCs w:val="20"/>
              </w:rPr>
            </w:pPr>
          </w:p>
        </w:tc>
        <w:tc>
          <w:tcPr>
            <w:tcW w:w="824" w:type="pct"/>
            <w:shd w:val="clear" w:color="auto" w:fill="auto"/>
            <w:vAlign w:val="center"/>
            <w:hideMark/>
          </w:tcPr>
          <w:p w14:paraId="5F8762C8" w14:textId="77777777" w:rsidR="00C81681" w:rsidRPr="001A5200" w:rsidRDefault="00C81681" w:rsidP="00505EA3">
            <w:pPr>
              <w:shd w:val="clear" w:color="auto" w:fill="FFFFFF"/>
              <w:bidi w:val="0"/>
              <w:spacing w:after="0" w:line="240" w:lineRule="auto"/>
              <w:jc w:val="both"/>
              <w:textAlignment w:val="top"/>
              <w:rPr>
                <w:rFonts w:asciiTheme="majorBidi" w:hAnsiTheme="majorBidi" w:cstheme="majorBidi"/>
                <w:b/>
                <w:bCs/>
                <w:sz w:val="20"/>
                <w:szCs w:val="20"/>
              </w:rPr>
            </w:pPr>
            <w:r w:rsidRPr="001A5200">
              <w:rPr>
                <w:rFonts w:asciiTheme="majorBidi" w:hAnsiTheme="majorBidi" w:cstheme="majorBidi"/>
                <w:b/>
                <w:bCs/>
                <w:sz w:val="20"/>
                <w:szCs w:val="20"/>
              </w:rPr>
              <w:t>Range</w:t>
            </w:r>
          </w:p>
        </w:tc>
        <w:tc>
          <w:tcPr>
            <w:tcW w:w="980" w:type="pct"/>
            <w:gridSpan w:val="2"/>
            <w:shd w:val="clear" w:color="auto" w:fill="auto"/>
            <w:vAlign w:val="center"/>
          </w:tcPr>
          <w:p w14:paraId="67E58C43"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44.0 - 66.0</w:t>
            </w:r>
          </w:p>
        </w:tc>
        <w:tc>
          <w:tcPr>
            <w:tcW w:w="861" w:type="pct"/>
            <w:gridSpan w:val="2"/>
            <w:shd w:val="clear" w:color="auto" w:fill="auto"/>
            <w:vAlign w:val="center"/>
          </w:tcPr>
          <w:p w14:paraId="6C42DEF9"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38.0 - 63.0</w:t>
            </w:r>
          </w:p>
        </w:tc>
        <w:tc>
          <w:tcPr>
            <w:tcW w:w="858" w:type="pct"/>
            <w:gridSpan w:val="2"/>
            <w:shd w:val="clear" w:color="auto" w:fill="auto"/>
            <w:vAlign w:val="center"/>
          </w:tcPr>
          <w:p w14:paraId="5C70E13A"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36.0 - 69.0</w:t>
            </w:r>
          </w:p>
        </w:tc>
        <w:tc>
          <w:tcPr>
            <w:tcW w:w="529" w:type="pct"/>
            <w:vMerge/>
            <w:shd w:val="clear" w:color="auto" w:fill="auto"/>
            <w:vAlign w:val="center"/>
          </w:tcPr>
          <w:p w14:paraId="717D6820"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sz w:val="20"/>
                <w:szCs w:val="20"/>
              </w:rPr>
            </w:pPr>
          </w:p>
        </w:tc>
        <w:tc>
          <w:tcPr>
            <w:tcW w:w="433" w:type="pct"/>
            <w:vMerge/>
            <w:shd w:val="clear" w:color="auto" w:fill="auto"/>
            <w:vAlign w:val="center"/>
          </w:tcPr>
          <w:p w14:paraId="73108FB4" w14:textId="77777777" w:rsidR="00C81681" w:rsidRPr="001A5200" w:rsidRDefault="00C81681" w:rsidP="00505EA3">
            <w:pPr>
              <w:shd w:val="clear" w:color="auto" w:fill="FFFFFF"/>
              <w:bidi w:val="0"/>
              <w:spacing w:after="0" w:line="240" w:lineRule="auto"/>
              <w:jc w:val="center"/>
              <w:textAlignment w:val="top"/>
              <w:rPr>
                <w:rFonts w:asciiTheme="majorBidi" w:hAnsiTheme="majorBidi" w:cstheme="majorBidi"/>
                <w:sz w:val="20"/>
                <w:szCs w:val="20"/>
              </w:rPr>
            </w:pPr>
          </w:p>
        </w:tc>
      </w:tr>
    </w:tbl>
    <w:p w14:paraId="4CF6031C" w14:textId="77777777" w:rsidR="00EB11B1" w:rsidRPr="001A5200" w:rsidRDefault="00EB11B1" w:rsidP="00505EA3">
      <w:pPr>
        <w:tabs>
          <w:tab w:val="center" w:pos="4680"/>
        </w:tabs>
        <w:bidi w:val="0"/>
        <w:spacing w:after="0" w:line="240" w:lineRule="auto"/>
        <w:jc w:val="both"/>
        <w:rPr>
          <w:rFonts w:asciiTheme="majorBidi" w:hAnsiTheme="majorBidi" w:cstheme="majorBidi"/>
          <w:sz w:val="20"/>
          <w:szCs w:val="20"/>
        </w:rPr>
        <w:sectPr w:rsidR="00EB11B1" w:rsidRPr="001A5200" w:rsidSect="00B83D64">
          <w:type w:val="continuous"/>
          <w:pgSz w:w="11909" w:h="16834" w:code="9"/>
          <w:pgMar w:top="1440" w:right="929" w:bottom="1440" w:left="1080" w:header="720" w:footer="720" w:gutter="0"/>
          <w:cols w:space="720"/>
          <w:docGrid w:linePitch="360"/>
        </w:sectPr>
      </w:pPr>
    </w:p>
    <w:p w14:paraId="5C9E67C1" w14:textId="13746407" w:rsidR="00C601E7" w:rsidRPr="001A5200" w:rsidRDefault="00EB795A" w:rsidP="00505EA3">
      <w:pPr>
        <w:tabs>
          <w:tab w:val="center" w:pos="4680"/>
        </w:tabs>
        <w:bidi w:val="0"/>
        <w:spacing w:after="0" w:line="240" w:lineRule="auto"/>
        <w:jc w:val="both"/>
        <w:rPr>
          <w:rFonts w:asciiTheme="majorBidi" w:hAnsiTheme="majorBidi" w:cstheme="majorBidi"/>
          <w:sz w:val="20"/>
          <w:szCs w:val="20"/>
        </w:rPr>
      </w:pPr>
      <w:r w:rsidRPr="001A5200">
        <w:rPr>
          <w:rFonts w:asciiTheme="majorBidi" w:hAnsiTheme="majorBidi" w:cstheme="majorBidi"/>
          <w:sz w:val="20"/>
          <w:szCs w:val="20"/>
        </w:rPr>
        <w:t>Standard deviation (SD), F (One-Way ANOVA Test), and X2 (Chi-Square test) indicate that a P value less than 0.05 is significant and a P value less than 0.01 is very significant.\</w:t>
      </w:r>
      <w:proofErr w:type="spellStart"/>
      <w:r w:rsidRPr="001A5200">
        <w:rPr>
          <w:rFonts w:asciiTheme="majorBidi" w:hAnsiTheme="majorBidi" w:cstheme="majorBidi"/>
          <w:sz w:val="20"/>
          <w:szCs w:val="20"/>
        </w:rPr>
        <w:t>sThere</w:t>
      </w:r>
      <w:r w:rsidR="00C601E7" w:rsidRPr="001A5200">
        <w:rPr>
          <w:rFonts w:asciiTheme="majorBidi" w:hAnsiTheme="majorBidi" w:cstheme="majorBidi"/>
          <w:sz w:val="20"/>
          <w:szCs w:val="20"/>
        </w:rPr>
        <w:t>was</w:t>
      </w:r>
      <w:proofErr w:type="spellEnd"/>
      <w:r w:rsidR="00C601E7" w:rsidRPr="001A5200">
        <w:rPr>
          <w:rFonts w:asciiTheme="majorBidi" w:hAnsiTheme="majorBidi" w:cstheme="majorBidi"/>
          <w:sz w:val="20"/>
          <w:szCs w:val="20"/>
        </w:rPr>
        <w:t xml:space="preserve"> significant difference between the studied groups regarding smoking, DM and HTN. Table (2).</w:t>
      </w:r>
    </w:p>
    <w:p w14:paraId="427A1ADB" w14:textId="77777777" w:rsidR="00EB11B1" w:rsidRPr="001A5200" w:rsidRDefault="00EB11B1" w:rsidP="00505EA3">
      <w:pPr>
        <w:tabs>
          <w:tab w:val="center" w:pos="4680"/>
        </w:tabs>
        <w:bidi w:val="0"/>
        <w:spacing w:after="0" w:line="240" w:lineRule="auto"/>
        <w:jc w:val="both"/>
        <w:rPr>
          <w:rFonts w:asciiTheme="majorBidi" w:hAnsiTheme="majorBidi" w:cstheme="majorBidi"/>
          <w:b/>
          <w:bCs/>
          <w:sz w:val="20"/>
          <w:szCs w:val="20"/>
        </w:rPr>
        <w:sectPr w:rsidR="00EB11B1" w:rsidRPr="001A5200" w:rsidSect="00B83D64">
          <w:type w:val="continuous"/>
          <w:pgSz w:w="11909" w:h="16834" w:code="9"/>
          <w:pgMar w:top="1440" w:right="929" w:bottom="1440" w:left="1080" w:header="720" w:footer="720" w:gutter="0"/>
          <w:cols w:space="720"/>
          <w:docGrid w:linePitch="360"/>
        </w:sectPr>
      </w:pPr>
    </w:p>
    <w:p w14:paraId="1EA14EC6" w14:textId="43EA3E37" w:rsidR="00DE3B97" w:rsidRPr="001A5200" w:rsidRDefault="00D65590" w:rsidP="00505EA3">
      <w:pPr>
        <w:tabs>
          <w:tab w:val="center" w:pos="4680"/>
        </w:tabs>
        <w:bidi w:val="0"/>
        <w:spacing w:before="120" w:after="120" w:line="240" w:lineRule="auto"/>
        <w:jc w:val="both"/>
        <w:rPr>
          <w:rFonts w:asciiTheme="majorBidi" w:hAnsiTheme="majorBidi" w:cstheme="majorBidi"/>
          <w:sz w:val="20"/>
          <w:szCs w:val="20"/>
        </w:rPr>
      </w:pPr>
      <w:r w:rsidRPr="001A5200">
        <w:rPr>
          <w:rFonts w:asciiTheme="majorBidi" w:hAnsiTheme="majorBidi" w:cstheme="majorBidi"/>
          <w:b/>
          <w:bCs/>
          <w:sz w:val="20"/>
          <w:szCs w:val="20"/>
        </w:rPr>
        <w:t>Table (2)</w:t>
      </w:r>
      <w:r>
        <w:rPr>
          <w:rFonts w:asciiTheme="majorBidi" w:hAnsiTheme="majorBidi" w:cstheme="majorBidi"/>
          <w:b/>
          <w:bCs/>
          <w:sz w:val="20"/>
          <w:szCs w:val="20"/>
        </w:rPr>
        <w:t xml:space="preserve"> </w:t>
      </w:r>
      <w:r w:rsidR="00EB795A" w:rsidRPr="00D65590">
        <w:rPr>
          <w:rFonts w:asciiTheme="majorBidi" w:hAnsiTheme="majorBidi" w:cstheme="majorBidi"/>
          <w:sz w:val="20"/>
          <w:szCs w:val="20"/>
        </w:rPr>
        <w:t>Clinical history of the three groups that were investigated</w:t>
      </w:r>
      <w:r>
        <w:rPr>
          <w:rFonts w:asciiTheme="majorBidi" w:hAnsiTheme="majorBidi" w:cstheme="majorBidi"/>
          <w:sz w:val="20"/>
          <w:szCs w:val="20"/>
        </w:rPr>
        <w:t>.</w:t>
      </w:r>
    </w:p>
    <w:tbl>
      <w:tblPr>
        <w:tblW w:w="5372" w:type="pct"/>
        <w:jc w:val="center"/>
        <w:tblBorders>
          <w:top w:val="single" w:sz="4" w:space="0" w:color="auto"/>
          <w:bottom w:val="single" w:sz="4" w:space="0" w:color="auto"/>
        </w:tblBorders>
        <w:tblLook w:val="04A0" w:firstRow="1" w:lastRow="0" w:firstColumn="1" w:lastColumn="0" w:noHBand="0" w:noVBand="1"/>
      </w:tblPr>
      <w:tblGrid>
        <w:gridCol w:w="1248"/>
        <w:gridCol w:w="1264"/>
        <w:gridCol w:w="615"/>
        <w:gridCol w:w="951"/>
        <w:gridCol w:w="615"/>
        <w:gridCol w:w="953"/>
        <w:gridCol w:w="755"/>
        <w:gridCol w:w="1406"/>
        <w:gridCol w:w="845"/>
        <w:gridCol w:w="1985"/>
      </w:tblGrid>
      <w:tr w:rsidR="00505EA3" w:rsidRPr="001A5200" w14:paraId="79B47A2A" w14:textId="77777777" w:rsidTr="0053028A">
        <w:trPr>
          <w:trHeight w:val="77"/>
          <w:jc w:val="center"/>
        </w:trPr>
        <w:tc>
          <w:tcPr>
            <w:tcW w:w="1181" w:type="pct"/>
            <w:gridSpan w:val="2"/>
            <w:vMerge w:val="restart"/>
            <w:tcBorders>
              <w:top w:val="single" w:sz="4" w:space="0" w:color="auto"/>
              <w:bottom w:val="nil"/>
            </w:tcBorders>
            <w:shd w:val="clear" w:color="auto" w:fill="auto"/>
            <w:vAlign w:val="center"/>
          </w:tcPr>
          <w:p w14:paraId="04A91287" w14:textId="77777777" w:rsidR="005D2805" w:rsidRPr="001A5200" w:rsidRDefault="005D2805"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Variable</w:t>
            </w:r>
          </w:p>
          <w:p w14:paraId="41C7DFBF" w14:textId="77777777" w:rsidR="005D2805" w:rsidRPr="001A5200" w:rsidRDefault="005D2805" w:rsidP="00505EA3">
            <w:pPr>
              <w:bidi w:val="0"/>
              <w:spacing w:after="0" w:line="240" w:lineRule="auto"/>
              <w:jc w:val="both"/>
              <w:rPr>
                <w:rFonts w:asciiTheme="majorBidi" w:hAnsiTheme="majorBidi" w:cstheme="majorBidi"/>
                <w:b/>
                <w:bCs/>
                <w:sz w:val="20"/>
                <w:szCs w:val="20"/>
              </w:rPr>
            </w:pPr>
          </w:p>
        </w:tc>
        <w:tc>
          <w:tcPr>
            <w:tcW w:w="736" w:type="pct"/>
            <w:gridSpan w:val="2"/>
            <w:tcBorders>
              <w:top w:val="single" w:sz="4" w:space="0" w:color="auto"/>
              <w:bottom w:val="nil"/>
            </w:tcBorders>
            <w:shd w:val="clear" w:color="auto" w:fill="auto"/>
            <w:vAlign w:val="center"/>
            <w:hideMark/>
          </w:tcPr>
          <w:p w14:paraId="2BDF8CDD"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MI group</w:t>
            </w:r>
          </w:p>
          <w:p w14:paraId="3A2BB208"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(A)</w:t>
            </w:r>
          </w:p>
          <w:p w14:paraId="3959BC24" w14:textId="77777777" w:rsidR="005D2805" w:rsidRPr="001A5200" w:rsidRDefault="005D2805" w:rsidP="00505EA3">
            <w:pPr>
              <w:bidi w:val="0"/>
              <w:spacing w:after="0" w:line="240" w:lineRule="auto"/>
              <w:jc w:val="center"/>
              <w:rPr>
                <w:rFonts w:asciiTheme="majorBidi" w:hAnsiTheme="majorBidi" w:cstheme="majorBidi"/>
                <w:b/>
                <w:bCs/>
                <w:sz w:val="20"/>
                <w:szCs w:val="20"/>
                <w:rtl/>
                <w:lang w:bidi="ar-EG"/>
              </w:rPr>
            </w:pPr>
            <w:r w:rsidRPr="001A5200">
              <w:rPr>
                <w:rFonts w:asciiTheme="majorBidi" w:hAnsiTheme="majorBidi" w:cstheme="majorBidi"/>
                <w:b/>
                <w:bCs/>
                <w:sz w:val="20"/>
                <w:szCs w:val="20"/>
              </w:rPr>
              <w:t>(N=20)</w:t>
            </w:r>
          </w:p>
        </w:tc>
        <w:tc>
          <w:tcPr>
            <w:tcW w:w="737" w:type="pct"/>
            <w:gridSpan w:val="2"/>
            <w:tcBorders>
              <w:top w:val="single" w:sz="4" w:space="0" w:color="auto"/>
              <w:bottom w:val="nil"/>
            </w:tcBorders>
            <w:shd w:val="clear" w:color="auto" w:fill="auto"/>
          </w:tcPr>
          <w:p w14:paraId="429385BF"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UA group</w:t>
            </w:r>
          </w:p>
          <w:p w14:paraId="307ED3F8"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(B)</w:t>
            </w:r>
          </w:p>
          <w:p w14:paraId="0C9693EF"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(N=20)</w:t>
            </w:r>
          </w:p>
        </w:tc>
        <w:tc>
          <w:tcPr>
            <w:tcW w:w="1016" w:type="pct"/>
            <w:gridSpan w:val="2"/>
            <w:tcBorders>
              <w:top w:val="single" w:sz="4" w:space="0" w:color="auto"/>
              <w:bottom w:val="nil"/>
            </w:tcBorders>
            <w:shd w:val="clear" w:color="auto" w:fill="auto"/>
            <w:vAlign w:val="center"/>
          </w:tcPr>
          <w:p w14:paraId="07B5EC34"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 xml:space="preserve">Control </w:t>
            </w:r>
            <w:proofErr w:type="gramStart"/>
            <w:r w:rsidRPr="001A5200">
              <w:rPr>
                <w:rFonts w:asciiTheme="majorBidi" w:hAnsiTheme="majorBidi" w:cstheme="majorBidi"/>
                <w:b/>
                <w:bCs/>
                <w:sz w:val="20"/>
                <w:szCs w:val="20"/>
              </w:rPr>
              <w:t>group</w:t>
            </w:r>
            <w:proofErr w:type="gramEnd"/>
          </w:p>
          <w:p w14:paraId="69333917"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(C)</w:t>
            </w:r>
          </w:p>
          <w:p w14:paraId="6D221C04"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(N=20)</w:t>
            </w:r>
          </w:p>
        </w:tc>
        <w:tc>
          <w:tcPr>
            <w:tcW w:w="397" w:type="pct"/>
            <w:vMerge w:val="restart"/>
            <w:tcBorders>
              <w:top w:val="single" w:sz="4" w:space="0" w:color="auto"/>
              <w:bottom w:val="single" w:sz="4" w:space="0" w:color="auto"/>
            </w:tcBorders>
            <w:shd w:val="clear" w:color="auto" w:fill="auto"/>
            <w:vAlign w:val="center"/>
            <w:hideMark/>
          </w:tcPr>
          <w:p w14:paraId="5099BE89"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Test value</w:t>
            </w:r>
          </w:p>
        </w:tc>
        <w:tc>
          <w:tcPr>
            <w:tcW w:w="933" w:type="pct"/>
            <w:vMerge w:val="restart"/>
            <w:tcBorders>
              <w:top w:val="single" w:sz="4" w:space="0" w:color="auto"/>
              <w:bottom w:val="single" w:sz="4" w:space="0" w:color="auto"/>
            </w:tcBorders>
            <w:shd w:val="clear" w:color="auto" w:fill="auto"/>
            <w:vAlign w:val="center"/>
          </w:tcPr>
          <w:p w14:paraId="352F7BFD"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P-value</w:t>
            </w:r>
          </w:p>
        </w:tc>
      </w:tr>
      <w:tr w:rsidR="00505EA3" w:rsidRPr="001A5200" w14:paraId="33CDCCDD" w14:textId="77777777" w:rsidTr="000E6E03">
        <w:trPr>
          <w:trHeight w:val="53"/>
          <w:jc w:val="center"/>
        </w:trPr>
        <w:tc>
          <w:tcPr>
            <w:tcW w:w="1181" w:type="pct"/>
            <w:gridSpan w:val="2"/>
            <w:vMerge/>
            <w:tcBorders>
              <w:top w:val="nil"/>
              <w:bottom w:val="single" w:sz="4" w:space="0" w:color="auto"/>
            </w:tcBorders>
            <w:shd w:val="clear" w:color="auto" w:fill="auto"/>
            <w:vAlign w:val="center"/>
          </w:tcPr>
          <w:p w14:paraId="1BBF949F" w14:textId="77777777" w:rsidR="005D2805" w:rsidRPr="001A5200" w:rsidRDefault="005D2805" w:rsidP="00505EA3">
            <w:pPr>
              <w:bidi w:val="0"/>
              <w:spacing w:after="0" w:line="240" w:lineRule="auto"/>
              <w:jc w:val="both"/>
              <w:rPr>
                <w:rFonts w:asciiTheme="majorBidi" w:hAnsiTheme="majorBidi" w:cstheme="majorBidi"/>
                <w:b/>
                <w:bCs/>
                <w:sz w:val="20"/>
                <w:szCs w:val="20"/>
              </w:rPr>
            </w:pPr>
          </w:p>
        </w:tc>
        <w:tc>
          <w:tcPr>
            <w:tcW w:w="289" w:type="pct"/>
            <w:tcBorders>
              <w:top w:val="nil"/>
              <w:bottom w:val="single" w:sz="4" w:space="0" w:color="auto"/>
            </w:tcBorders>
            <w:shd w:val="clear" w:color="auto" w:fill="auto"/>
            <w:vAlign w:val="center"/>
          </w:tcPr>
          <w:p w14:paraId="1FB558E0"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No.</w:t>
            </w:r>
          </w:p>
        </w:tc>
        <w:tc>
          <w:tcPr>
            <w:tcW w:w="447" w:type="pct"/>
            <w:tcBorders>
              <w:top w:val="nil"/>
              <w:bottom w:val="single" w:sz="4" w:space="0" w:color="auto"/>
            </w:tcBorders>
            <w:shd w:val="clear" w:color="auto" w:fill="auto"/>
            <w:vAlign w:val="center"/>
          </w:tcPr>
          <w:p w14:paraId="0B1F5D4C"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w:t>
            </w:r>
          </w:p>
        </w:tc>
        <w:tc>
          <w:tcPr>
            <w:tcW w:w="289" w:type="pct"/>
            <w:tcBorders>
              <w:top w:val="nil"/>
              <w:bottom w:val="single" w:sz="4" w:space="0" w:color="auto"/>
            </w:tcBorders>
            <w:shd w:val="clear" w:color="auto" w:fill="auto"/>
            <w:vAlign w:val="center"/>
          </w:tcPr>
          <w:p w14:paraId="4D4AF0DE"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No.</w:t>
            </w:r>
          </w:p>
        </w:tc>
        <w:tc>
          <w:tcPr>
            <w:tcW w:w="448" w:type="pct"/>
            <w:tcBorders>
              <w:top w:val="nil"/>
              <w:bottom w:val="single" w:sz="4" w:space="0" w:color="auto"/>
            </w:tcBorders>
            <w:shd w:val="clear" w:color="auto" w:fill="auto"/>
            <w:vAlign w:val="center"/>
          </w:tcPr>
          <w:p w14:paraId="4F0760B2"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w:t>
            </w:r>
          </w:p>
        </w:tc>
        <w:tc>
          <w:tcPr>
            <w:tcW w:w="355" w:type="pct"/>
            <w:tcBorders>
              <w:top w:val="nil"/>
              <w:bottom w:val="single" w:sz="4" w:space="0" w:color="auto"/>
            </w:tcBorders>
            <w:shd w:val="clear" w:color="auto" w:fill="auto"/>
            <w:vAlign w:val="center"/>
          </w:tcPr>
          <w:p w14:paraId="691563A7"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No.</w:t>
            </w:r>
          </w:p>
        </w:tc>
        <w:tc>
          <w:tcPr>
            <w:tcW w:w="661" w:type="pct"/>
            <w:tcBorders>
              <w:top w:val="nil"/>
              <w:bottom w:val="single" w:sz="4" w:space="0" w:color="auto"/>
            </w:tcBorders>
            <w:shd w:val="clear" w:color="auto" w:fill="auto"/>
            <w:vAlign w:val="center"/>
          </w:tcPr>
          <w:p w14:paraId="749CF972"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w:t>
            </w:r>
          </w:p>
        </w:tc>
        <w:tc>
          <w:tcPr>
            <w:tcW w:w="397" w:type="pct"/>
            <w:vMerge/>
            <w:tcBorders>
              <w:top w:val="nil"/>
              <w:bottom w:val="single" w:sz="4" w:space="0" w:color="auto"/>
            </w:tcBorders>
            <w:shd w:val="clear" w:color="auto" w:fill="auto"/>
            <w:vAlign w:val="center"/>
          </w:tcPr>
          <w:p w14:paraId="451A8D50" w14:textId="77777777" w:rsidR="005D2805" w:rsidRPr="001A5200" w:rsidRDefault="005D2805" w:rsidP="00505EA3">
            <w:pPr>
              <w:bidi w:val="0"/>
              <w:spacing w:after="0" w:line="240" w:lineRule="auto"/>
              <w:jc w:val="center"/>
              <w:rPr>
                <w:rFonts w:asciiTheme="majorBidi" w:hAnsiTheme="majorBidi" w:cstheme="majorBidi"/>
                <w:sz w:val="20"/>
                <w:szCs w:val="20"/>
              </w:rPr>
            </w:pPr>
          </w:p>
        </w:tc>
        <w:tc>
          <w:tcPr>
            <w:tcW w:w="933" w:type="pct"/>
            <w:vMerge/>
            <w:tcBorders>
              <w:top w:val="nil"/>
              <w:bottom w:val="single" w:sz="4" w:space="0" w:color="auto"/>
            </w:tcBorders>
            <w:shd w:val="clear" w:color="auto" w:fill="auto"/>
          </w:tcPr>
          <w:p w14:paraId="26AC1C7E" w14:textId="77777777" w:rsidR="005D2805" w:rsidRPr="001A5200" w:rsidRDefault="005D2805" w:rsidP="00505EA3">
            <w:pPr>
              <w:bidi w:val="0"/>
              <w:spacing w:after="0" w:line="240" w:lineRule="auto"/>
              <w:jc w:val="center"/>
              <w:rPr>
                <w:rFonts w:asciiTheme="majorBidi" w:hAnsiTheme="majorBidi" w:cstheme="majorBidi"/>
                <w:sz w:val="20"/>
                <w:szCs w:val="20"/>
              </w:rPr>
            </w:pPr>
          </w:p>
        </w:tc>
      </w:tr>
      <w:tr w:rsidR="00505EA3" w:rsidRPr="001A5200" w14:paraId="3266AE42" w14:textId="77777777" w:rsidTr="0053028A">
        <w:trPr>
          <w:trHeight w:val="87"/>
          <w:jc w:val="center"/>
        </w:trPr>
        <w:tc>
          <w:tcPr>
            <w:tcW w:w="587" w:type="pct"/>
            <w:vMerge w:val="restart"/>
            <w:tcBorders>
              <w:top w:val="single" w:sz="4" w:space="0" w:color="auto"/>
            </w:tcBorders>
            <w:shd w:val="clear" w:color="auto" w:fill="auto"/>
            <w:vAlign w:val="center"/>
            <w:hideMark/>
          </w:tcPr>
          <w:p w14:paraId="793911E0" w14:textId="77777777" w:rsidR="005D2805" w:rsidRPr="001A5200" w:rsidRDefault="005D2805"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Smoking</w:t>
            </w:r>
          </w:p>
        </w:tc>
        <w:tc>
          <w:tcPr>
            <w:tcW w:w="594" w:type="pct"/>
            <w:tcBorders>
              <w:top w:val="single" w:sz="4" w:space="0" w:color="auto"/>
            </w:tcBorders>
            <w:shd w:val="clear" w:color="auto" w:fill="auto"/>
            <w:vAlign w:val="center"/>
            <w:hideMark/>
          </w:tcPr>
          <w:p w14:paraId="1D6FA52E" w14:textId="77777777" w:rsidR="005D2805" w:rsidRPr="001A5200" w:rsidRDefault="005D2805"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Current</w:t>
            </w:r>
          </w:p>
        </w:tc>
        <w:tc>
          <w:tcPr>
            <w:tcW w:w="289" w:type="pct"/>
            <w:tcBorders>
              <w:top w:val="single" w:sz="4" w:space="0" w:color="auto"/>
            </w:tcBorders>
            <w:shd w:val="clear" w:color="auto" w:fill="auto"/>
            <w:vAlign w:val="center"/>
          </w:tcPr>
          <w:p w14:paraId="5F209147"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10</w:t>
            </w:r>
          </w:p>
        </w:tc>
        <w:tc>
          <w:tcPr>
            <w:tcW w:w="447" w:type="pct"/>
            <w:tcBorders>
              <w:top w:val="single" w:sz="4" w:space="0" w:color="auto"/>
            </w:tcBorders>
            <w:shd w:val="clear" w:color="auto" w:fill="auto"/>
            <w:vAlign w:val="center"/>
          </w:tcPr>
          <w:p w14:paraId="7F723A23"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50.0%</w:t>
            </w:r>
          </w:p>
        </w:tc>
        <w:tc>
          <w:tcPr>
            <w:tcW w:w="289" w:type="pct"/>
            <w:tcBorders>
              <w:top w:val="single" w:sz="4" w:space="0" w:color="auto"/>
            </w:tcBorders>
            <w:shd w:val="clear" w:color="auto" w:fill="auto"/>
            <w:vAlign w:val="center"/>
          </w:tcPr>
          <w:p w14:paraId="5C2D5FC0"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3</w:t>
            </w:r>
          </w:p>
        </w:tc>
        <w:tc>
          <w:tcPr>
            <w:tcW w:w="448" w:type="pct"/>
            <w:tcBorders>
              <w:top w:val="single" w:sz="4" w:space="0" w:color="auto"/>
            </w:tcBorders>
            <w:shd w:val="clear" w:color="auto" w:fill="auto"/>
            <w:vAlign w:val="center"/>
          </w:tcPr>
          <w:p w14:paraId="53BF3F83"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15.0%</w:t>
            </w:r>
          </w:p>
        </w:tc>
        <w:tc>
          <w:tcPr>
            <w:tcW w:w="355" w:type="pct"/>
            <w:tcBorders>
              <w:top w:val="single" w:sz="4" w:space="0" w:color="auto"/>
            </w:tcBorders>
            <w:shd w:val="clear" w:color="auto" w:fill="auto"/>
            <w:vAlign w:val="center"/>
          </w:tcPr>
          <w:p w14:paraId="6AF45A9B"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4</w:t>
            </w:r>
          </w:p>
        </w:tc>
        <w:tc>
          <w:tcPr>
            <w:tcW w:w="661" w:type="pct"/>
            <w:tcBorders>
              <w:top w:val="single" w:sz="4" w:space="0" w:color="auto"/>
            </w:tcBorders>
            <w:shd w:val="clear" w:color="auto" w:fill="auto"/>
            <w:vAlign w:val="center"/>
          </w:tcPr>
          <w:p w14:paraId="3B44DA3B"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20.0%</w:t>
            </w:r>
          </w:p>
        </w:tc>
        <w:tc>
          <w:tcPr>
            <w:tcW w:w="397" w:type="pct"/>
            <w:vMerge w:val="restart"/>
            <w:tcBorders>
              <w:top w:val="single" w:sz="4" w:space="0" w:color="auto"/>
            </w:tcBorders>
            <w:shd w:val="clear" w:color="auto" w:fill="auto"/>
            <w:vAlign w:val="center"/>
          </w:tcPr>
          <w:p w14:paraId="5B74CEE4"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X</w:t>
            </w:r>
            <w:r w:rsidRPr="001A5200">
              <w:rPr>
                <w:rFonts w:asciiTheme="majorBidi" w:hAnsiTheme="majorBidi" w:cstheme="majorBidi"/>
                <w:sz w:val="20"/>
                <w:szCs w:val="20"/>
                <w:vertAlign w:val="superscript"/>
              </w:rPr>
              <w:t>2</w:t>
            </w:r>
            <w:r w:rsidRPr="001A5200">
              <w:rPr>
                <w:rFonts w:asciiTheme="majorBidi" w:hAnsiTheme="majorBidi" w:cstheme="majorBidi"/>
                <w:sz w:val="20"/>
                <w:szCs w:val="20"/>
              </w:rPr>
              <w:t>= 11.96</w:t>
            </w:r>
          </w:p>
        </w:tc>
        <w:tc>
          <w:tcPr>
            <w:tcW w:w="933" w:type="pct"/>
            <w:vMerge w:val="restart"/>
            <w:tcBorders>
              <w:top w:val="single" w:sz="4" w:space="0" w:color="auto"/>
            </w:tcBorders>
            <w:shd w:val="clear" w:color="auto" w:fill="auto"/>
            <w:vAlign w:val="center"/>
          </w:tcPr>
          <w:p w14:paraId="2B31E948"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&lt;0.001</w:t>
            </w:r>
          </w:p>
          <w:p w14:paraId="34CF2A93" w14:textId="77777777" w:rsidR="005D2805" w:rsidRPr="001A5200" w:rsidRDefault="005D2805" w:rsidP="00505EA3">
            <w:pPr>
              <w:bidi w:val="0"/>
              <w:spacing w:after="0" w:line="240" w:lineRule="auto"/>
              <w:jc w:val="center"/>
              <w:rPr>
                <w:rFonts w:asciiTheme="majorBidi" w:hAnsiTheme="majorBidi" w:cstheme="majorBidi"/>
                <w:bCs/>
                <w:sz w:val="20"/>
                <w:szCs w:val="20"/>
              </w:rPr>
            </w:pPr>
            <w:r w:rsidRPr="001A5200">
              <w:rPr>
                <w:rFonts w:asciiTheme="majorBidi" w:hAnsiTheme="majorBidi" w:cstheme="majorBidi"/>
                <w:bCs/>
                <w:sz w:val="20"/>
                <w:szCs w:val="20"/>
              </w:rPr>
              <w:t>P</w:t>
            </w:r>
            <w:r w:rsidRPr="001A5200">
              <w:rPr>
                <w:rFonts w:asciiTheme="majorBidi" w:hAnsiTheme="majorBidi" w:cstheme="majorBidi"/>
                <w:bCs/>
                <w:sz w:val="20"/>
                <w:szCs w:val="20"/>
                <w:vertAlign w:val="subscript"/>
              </w:rPr>
              <w:t>A-B</w:t>
            </w:r>
            <w:r w:rsidRPr="001A5200">
              <w:rPr>
                <w:rFonts w:asciiTheme="majorBidi" w:hAnsiTheme="majorBidi" w:cstheme="majorBidi"/>
                <w:b/>
                <w:sz w:val="20"/>
                <w:szCs w:val="20"/>
              </w:rPr>
              <w:t>=0.006</w:t>
            </w:r>
          </w:p>
          <w:p w14:paraId="0AA124D2" w14:textId="77777777" w:rsidR="005D2805" w:rsidRPr="001A5200" w:rsidRDefault="005D2805" w:rsidP="00505EA3">
            <w:pPr>
              <w:bidi w:val="0"/>
              <w:spacing w:after="0" w:line="240" w:lineRule="auto"/>
              <w:jc w:val="center"/>
              <w:rPr>
                <w:rFonts w:asciiTheme="majorBidi" w:hAnsiTheme="majorBidi" w:cstheme="majorBidi"/>
                <w:bCs/>
                <w:sz w:val="20"/>
                <w:szCs w:val="20"/>
              </w:rPr>
            </w:pPr>
            <w:r w:rsidRPr="001A5200">
              <w:rPr>
                <w:rFonts w:asciiTheme="majorBidi" w:hAnsiTheme="majorBidi" w:cstheme="majorBidi"/>
                <w:bCs/>
                <w:sz w:val="20"/>
                <w:szCs w:val="20"/>
              </w:rPr>
              <w:t>P</w:t>
            </w:r>
            <w:r w:rsidRPr="001A5200">
              <w:rPr>
                <w:rFonts w:asciiTheme="majorBidi" w:hAnsiTheme="majorBidi" w:cstheme="majorBidi"/>
                <w:bCs/>
                <w:sz w:val="20"/>
                <w:szCs w:val="20"/>
                <w:vertAlign w:val="subscript"/>
              </w:rPr>
              <w:t>A-C</w:t>
            </w:r>
            <w:r w:rsidRPr="001A5200">
              <w:rPr>
                <w:rFonts w:asciiTheme="majorBidi" w:hAnsiTheme="majorBidi" w:cstheme="majorBidi"/>
                <w:b/>
                <w:sz w:val="20"/>
                <w:szCs w:val="20"/>
              </w:rPr>
              <w:t>&lt;0.001</w:t>
            </w:r>
          </w:p>
          <w:p w14:paraId="630E307A"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Cs/>
                <w:sz w:val="20"/>
                <w:szCs w:val="20"/>
              </w:rPr>
              <w:t>P</w:t>
            </w:r>
            <w:r w:rsidRPr="001A5200">
              <w:rPr>
                <w:rFonts w:asciiTheme="majorBidi" w:hAnsiTheme="majorBidi" w:cstheme="majorBidi"/>
                <w:bCs/>
                <w:sz w:val="20"/>
                <w:szCs w:val="20"/>
                <w:vertAlign w:val="subscript"/>
              </w:rPr>
              <w:t>B-C</w:t>
            </w:r>
            <w:r w:rsidRPr="001A5200">
              <w:rPr>
                <w:rFonts w:asciiTheme="majorBidi" w:hAnsiTheme="majorBidi" w:cstheme="majorBidi"/>
                <w:b/>
                <w:sz w:val="20"/>
                <w:szCs w:val="20"/>
              </w:rPr>
              <w:t>=0.029</w:t>
            </w:r>
          </w:p>
        </w:tc>
      </w:tr>
      <w:tr w:rsidR="00505EA3" w:rsidRPr="001A5200" w14:paraId="437C8F29" w14:textId="77777777" w:rsidTr="0053028A">
        <w:trPr>
          <w:trHeight w:val="109"/>
          <w:jc w:val="center"/>
        </w:trPr>
        <w:tc>
          <w:tcPr>
            <w:tcW w:w="587" w:type="pct"/>
            <w:vMerge/>
            <w:shd w:val="clear" w:color="auto" w:fill="auto"/>
            <w:vAlign w:val="center"/>
          </w:tcPr>
          <w:p w14:paraId="2837F012" w14:textId="77777777" w:rsidR="005D2805" w:rsidRPr="001A5200" w:rsidRDefault="005D2805" w:rsidP="00505EA3">
            <w:pPr>
              <w:bidi w:val="0"/>
              <w:spacing w:after="0" w:line="240" w:lineRule="auto"/>
              <w:jc w:val="both"/>
              <w:rPr>
                <w:rFonts w:asciiTheme="majorBidi" w:hAnsiTheme="majorBidi" w:cstheme="majorBidi"/>
                <w:b/>
                <w:bCs/>
                <w:sz w:val="20"/>
                <w:szCs w:val="20"/>
              </w:rPr>
            </w:pPr>
          </w:p>
        </w:tc>
        <w:tc>
          <w:tcPr>
            <w:tcW w:w="594" w:type="pct"/>
            <w:shd w:val="clear" w:color="auto" w:fill="auto"/>
            <w:vAlign w:val="center"/>
          </w:tcPr>
          <w:p w14:paraId="0501B111" w14:textId="77777777" w:rsidR="005D2805" w:rsidRPr="001A5200" w:rsidRDefault="005D2805"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Excessive</w:t>
            </w:r>
          </w:p>
        </w:tc>
        <w:tc>
          <w:tcPr>
            <w:tcW w:w="289" w:type="pct"/>
            <w:shd w:val="clear" w:color="auto" w:fill="auto"/>
            <w:vAlign w:val="center"/>
          </w:tcPr>
          <w:p w14:paraId="2CF29A71"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9</w:t>
            </w:r>
          </w:p>
        </w:tc>
        <w:tc>
          <w:tcPr>
            <w:tcW w:w="447" w:type="pct"/>
            <w:shd w:val="clear" w:color="auto" w:fill="auto"/>
            <w:vAlign w:val="center"/>
          </w:tcPr>
          <w:p w14:paraId="721B9C8B"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45.0%</w:t>
            </w:r>
          </w:p>
        </w:tc>
        <w:tc>
          <w:tcPr>
            <w:tcW w:w="289" w:type="pct"/>
            <w:shd w:val="clear" w:color="auto" w:fill="auto"/>
            <w:vAlign w:val="center"/>
          </w:tcPr>
          <w:p w14:paraId="285162E1"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8</w:t>
            </w:r>
          </w:p>
        </w:tc>
        <w:tc>
          <w:tcPr>
            <w:tcW w:w="448" w:type="pct"/>
            <w:shd w:val="clear" w:color="auto" w:fill="auto"/>
            <w:vAlign w:val="center"/>
          </w:tcPr>
          <w:p w14:paraId="554B183F"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40.0%</w:t>
            </w:r>
          </w:p>
        </w:tc>
        <w:tc>
          <w:tcPr>
            <w:tcW w:w="355" w:type="pct"/>
            <w:shd w:val="clear" w:color="auto" w:fill="auto"/>
            <w:vAlign w:val="center"/>
          </w:tcPr>
          <w:p w14:paraId="3CEDFFCE"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1</w:t>
            </w:r>
          </w:p>
        </w:tc>
        <w:tc>
          <w:tcPr>
            <w:tcW w:w="661" w:type="pct"/>
            <w:shd w:val="clear" w:color="auto" w:fill="auto"/>
            <w:vAlign w:val="center"/>
          </w:tcPr>
          <w:p w14:paraId="117B504A"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5.0%</w:t>
            </w:r>
          </w:p>
        </w:tc>
        <w:tc>
          <w:tcPr>
            <w:tcW w:w="397" w:type="pct"/>
            <w:vMerge/>
            <w:shd w:val="clear" w:color="auto" w:fill="auto"/>
            <w:vAlign w:val="center"/>
          </w:tcPr>
          <w:p w14:paraId="42C3E12D" w14:textId="77777777" w:rsidR="005D2805" w:rsidRPr="001A5200" w:rsidRDefault="005D2805" w:rsidP="00505EA3">
            <w:pPr>
              <w:bidi w:val="0"/>
              <w:spacing w:after="0" w:line="240" w:lineRule="auto"/>
              <w:jc w:val="center"/>
              <w:rPr>
                <w:rFonts w:asciiTheme="majorBidi" w:hAnsiTheme="majorBidi" w:cstheme="majorBidi"/>
                <w:sz w:val="20"/>
                <w:szCs w:val="20"/>
              </w:rPr>
            </w:pPr>
          </w:p>
        </w:tc>
        <w:tc>
          <w:tcPr>
            <w:tcW w:w="933" w:type="pct"/>
            <w:vMerge/>
            <w:shd w:val="clear" w:color="auto" w:fill="auto"/>
            <w:vAlign w:val="center"/>
          </w:tcPr>
          <w:p w14:paraId="6FA26153" w14:textId="77777777" w:rsidR="005D2805" w:rsidRPr="001A5200" w:rsidRDefault="005D2805" w:rsidP="00505EA3">
            <w:pPr>
              <w:bidi w:val="0"/>
              <w:spacing w:after="0" w:line="240" w:lineRule="auto"/>
              <w:jc w:val="center"/>
              <w:rPr>
                <w:rFonts w:asciiTheme="majorBidi" w:hAnsiTheme="majorBidi" w:cstheme="majorBidi"/>
                <w:sz w:val="20"/>
                <w:szCs w:val="20"/>
              </w:rPr>
            </w:pPr>
          </w:p>
        </w:tc>
      </w:tr>
      <w:tr w:rsidR="00505EA3" w:rsidRPr="001A5200" w14:paraId="51023B2F" w14:textId="77777777" w:rsidTr="0053028A">
        <w:trPr>
          <w:trHeight w:val="109"/>
          <w:jc w:val="center"/>
        </w:trPr>
        <w:tc>
          <w:tcPr>
            <w:tcW w:w="587" w:type="pct"/>
            <w:vMerge/>
            <w:shd w:val="clear" w:color="auto" w:fill="auto"/>
            <w:vAlign w:val="center"/>
            <w:hideMark/>
          </w:tcPr>
          <w:p w14:paraId="1C8CE1DA" w14:textId="77777777" w:rsidR="005D2805" w:rsidRPr="001A5200" w:rsidRDefault="005D2805" w:rsidP="00505EA3">
            <w:pPr>
              <w:bidi w:val="0"/>
              <w:spacing w:after="0" w:line="240" w:lineRule="auto"/>
              <w:jc w:val="both"/>
              <w:rPr>
                <w:rFonts w:asciiTheme="majorBidi" w:hAnsiTheme="majorBidi" w:cstheme="majorBidi"/>
                <w:b/>
                <w:bCs/>
                <w:sz w:val="20"/>
                <w:szCs w:val="20"/>
              </w:rPr>
            </w:pPr>
          </w:p>
        </w:tc>
        <w:tc>
          <w:tcPr>
            <w:tcW w:w="594" w:type="pct"/>
            <w:shd w:val="clear" w:color="auto" w:fill="auto"/>
            <w:vAlign w:val="center"/>
            <w:hideMark/>
          </w:tcPr>
          <w:p w14:paraId="63C12662" w14:textId="77777777" w:rsidR="005D2805" w:rsidRPr="001A5200" w:rsidRDefault="005D2805"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Non</w:t>
            </w:r>
          </w:p>
        </w:tc>
        <w:tc>
          <w:tcPr>
            <w:tcW w:w="289" w:type="pct"/>
            <w:shd w:val="clear" w:color="auto" w:fill="auto"/>
            <w:vAlign w:val="center"/>
          </w:tcPr>
          <w:p w14:paraId="03EA74AB"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1</w:t>
            </w:r>
          </w:p>
        </w:tc>
        <w:tc>
          <w:tcPr>
            <w:tcW w:w="447" w:type="pct"/>
            <w:shd w:val="clear" w:color="auto" w:fill="auto"/>
            <w:vAlign w:val="center"/>
          </w:tcPr>
          <w:p w14:paraId="548A6949"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5.0%</w:t>
            </w:r>
          </w:p>
        </w:tc>
        <w:tc>
          <w:tcPr>
            <w:tcW w:w="289" w:type="pct"/>
            <w:shd w:val="clear" w:color="auto" w:fill="auto"/>
            <w:vAlign w:val="center"/>
          </w:tcPr>
          <w:p w14:paraId="5CF5F2F4"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9</w:t>
            </w:r>
          </w:p>
        </w:tc>
        <w:tc>
          <w:tcPr>
            <w:tcW w:w="448" w:type="pct"/>
            <w:shd w:val="clear" w:color="auto" w:fill="auto"/>
            <w:vAlign w:val="center"/>
          </w:tcPr>
          <w:p w14:paraId="627667E2"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45.0%</w:t>
            </w:r>
          </w:p>
        </w:tc>
        <w:tc>
          <w:tcPr>
            <w:tcW w:w="355" w:type="pct"/>
            <w:shd w:val="clear" w:color="auto" w:fill="auto"/>
            <w:vAlign w:val="center"/>
          </w:tcPr>
          <w:p w14:paraId="737C42DB"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15</w:t>
            </w:r>
          </w:p>
        </w:tc>
        <w:tc>
          <w:tcPr>
            <w:tcW w:w="661" w:type="pct"/>
            <w:shd w:val="clear" w:color="auto" w:fill="auto"/>
            <w:vAlign w:val="center"/>
          </w:tcPr>
          <w:p w14:paraId="011DD222"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75.0%</w:t>
            </w:r>
          </w:p>
        </w:tc>
        <w:tc>
          <w:tcPr>
            <w:tcW w:w="397" w:type="pct"/>
            <w:vMerge/>
            <w:shd w:val="clear" w:color="auto" w:fill="auto"/>
            <w:vAlign w:val="center"/>
          </w:tcPr>
          <w:p w14:paraId="70131E84" w14:textId="77777777" w:rsidR="005D2805" w:rsidRPr="001A5200" w:rsidRDefault="005D2805" w:rsidP="00505EA3">
            <w:pPr>
              <w:bidi w:val="0"/>
              <w:spacing w:after="0" w:line="240" w:lineRule="auto"/>
              <w:jc w:val="center"/>
              <w:rPr>
                <w:rFonts w:asciiTheme="majorBidi" w:hAnsiTheme="majorBidi" w:cstheme="majorBidi"/>
                <w:sz w:val="20"/>
                <w:szCs w:val="20"/>
              </w:rPr>
            </w:pPr>
          </w:p>
        </w:tc>
        <w:tc>
          <w:tcPr>
            <w:tcW w:w="933" w:type="pct"/>
            <w:vMerge/>
            <w:shd w:val="clear" w:color="auto" w:fill="auto"/>
          </w:tcPr>
          <w:p w14:paraId="2886A8B0" w14:textId="77777777" w:rsidR="005D2805" w:rsidRPr="001A5200" w:rsidRDefault="005D2805" w:rsidP="00505EA3">
            <w:pPr>
              <w:bidi w:val="0"/>
              <w:spacing w:after="0" w:line="240" w:lineRule="auto"/>
              <w:jc w:val="center"/>
              <w:rPr>
                <w:rFonts w:asciiTheme="majorBidi" w:hAnsiTheme="majorBidi" w:cstheme="majorBidi"/>
                <w:sz w:val="20"/>
                <w:szCs w:val="20"/>
              </w:rPr>
            </w:pPr>
          </w:p>
        </w:tc>
      </w:tr>
      <w:tr w:rsidR="00505EA3" w:rsidRPr="001A5200" w14:paraId="7D4A9CF5" w14:textId="77777777" w:rsidTr="0053028A">
        <w:trPr>
          <w:trHeight w:val="87"/>
          <w:jc w:val="center"/>
        </w:trPr>
        <w:tc>
          <w:tcPr>
            <w:tcW w:w="587" w:type="pct"/>
            <w:vMerge w:val="restart"/>
            <w:shd w:val="clear" w:color="auto" w:fill="auto"/>
            <w:vAlign w:val="center"/>
            <w:hideMark/>
          </w:tcPr>
          <w:p w14:paraId="5DA54C58" w14:textId="77777777" w:rsidR="005D2805" w:rsidRPr="001A5200" w:rsidRDefault="005D2805"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DM</w:t>
            </w:r>
          </w:p>
        </w:tc>
        <w:tc>
          <w:tcPr>
            <w:tcW w:w="594" w:type="pct"/>
            <w:shd w:val="clear" w:color="auto" w:fill="auto"/>
            <w:vAlign w:val="center"/>
            <w:hideMark/>
          </w:tcPr>
          <w:p w14:paraId="296EB6BE" w14:textId="77777777" w:rsidR="005D2805" w:rsidRPr="001A5200" w:rsidRDefault="005D2805"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Negative</w:t>
            </w:r>
          </w:p>
        </w:tc>
        <w:tc>
          <w:tcPr>
            <w:tcW w:w="289" w:type="pct"/>
            <w:shd w:val="clear" w:color="auto" w:fill="auto"/>
            <w:vAlign w:val="center"/>
          </w:tcPr>
          <w:p w14:paraId="17656AA5"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3</w:t>
            </w:r>
          </w:p>
        </w:tc>
        <w:tc>
          <w:tcPr>
            <w:tcW w:w="447" w:type="pct"/>
            <w:shd w:val="clear" w:color="auto" w:fill="auto"/>
            <w:vAlign w:val="center"/>
          </w:tcPr>
          <w:p w14:paraId="28B90AB1"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15.0%</w:t>
            </w:r>
          </w:p>
        </w:tc>
        <w:tc>
          <w:tcPr>
            <w:tcW w:w="289" w:type="pct"/>
            <w:shd w:val="clear" w:color="auto" w:fill="auto"/>
            <w:vAlign w:val="center"/>
          </w:tcPr>
          <w:p w14:paraId="5DDBFE78"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3</w:t>
            </w:r>
          </w:p>
        </w:tc>
        <w:tc>
          <w:tcPr>
            <w:tcW w:w="448" w:type="pct"/>
            <w:shd w:val="clear" w:color="auto" w:fill="auto"/>
            <w:vAlign w:val="center"/>
          </w:tcPr>
          <w:p w14:paraId="5BBE1716"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15.0%</w:t>
            </w:r>
          </w:p>
        </w:tc>
        <w:tc>
          <w:tcPr>
            <w:tcW w:w="355" w:type="pct"/>
            <w:shd w:val="clear" w:color="auto" w:fill="auto"/>
            <w:vAlign w:val="center"/>
          </w:tcPr>
          <w:p w14:paraId="26888A80"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12</w:t>
            </w:r>
          </w:p>
        </w:tc>
        <w:tc>
          <w:tcPr>
            <w:tcW w:w="661" w:type="pct"/>
            <w:shd w:val="clear" w:color="auto" w:fill="auto"/>
            <w:vAlign w:val="center"/>
          </w:tcPr>
          <w:p w14:paraId="5F360C5E"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60.0%</w:t>
            </w:r>
          </w:p>
        </w:tc>
        <w:tc>
          <w:tcPr>
            <w:tcW w:w="397" w:type="pct"/>
            <w:vMerge w:val="restart"/>
            <w:shd w:val="clear" w:color="auto" w:fill="auto"/>
            <w:vAlign w:val="center"/>
          </w:tcPr>
          <w:p w14:paraId="37855102"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X</w:t>
            </w:r>
            <w:r w:rsidRPr="001A5200">
              <w:rPr>
                <w:rFonts w:asciiTheme="majorBidi" w:hAnsiTheme="majorBidi" w:cstheme="majorBidi"/>
                <w:sz w:val="20"/>
                <w:szCs w:val="20"/>
                <w:vertAlign w:val="superscript"/>
              </w:rPr>
              <w:t>2</w:t>
            </w:r>
            <w:r w:rsidRPr="001A5200">
              <w:rPr>
                <w:rFonts w:asciiTheme="majorBidi" w:hAnsiTheme="majorBidi" w:cstheme="majorBidi"/>
                <w:sz w:val="20"/>
                <w:szCs w:val="20"/>
              </w:rPr>
              <w:t>= 12.857</w:t>
            </w:r>
          </w:p>
        </w:tc>
        <w:tc>
          <w:tcPr>
            <w:tcW w:w="933" w:type="pct"/>
            <w:vMerge w:val="restart"/>
            <w:shd w:val="clear" w:color="auto" w:fill="auto"/>
            <w:vAlign w:val="center"/>
          </w:tcPr>
          <w:p w14:paraId="108191EC"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0.002</w:t>
            </w:r>
          </w:p>
          <w:p w14:paraId="55C7B631" w14:textId="77777777" w:rsidR="005D2805" w:rsidRPr="001A5200" w:rsidRDefault="005D2805" w:rsidP="00505EA3">
            <w:pPr>
              <w:bidi w:val="0"/>
              <w:spacing w:after="0" w:line="240" w:lineRule="auto"/>
              <w:jc w:val="center"/>
              <w:rPr>
                <w:rFonts w:asciiTheme="majorBidi" w:hAnsiTheme="majorBidi" w:cstheme="majorBidi"/>
                <w:bCs/>
                <w:sz w:val="20"/>
                <w:szCs w:val="20"/>
              </w:rPr>
            </w:pPr>
            <w:r w:rsidRPr="001A5200">
              <w:rPr>
                <w:rFonts w:asciiTheme="majorBidi" w:hAnsiTheme="majorBidi" w:cstheme="majorBidi"/>
                <w:bCs/>
                <w:sz w:val="20"/>
                <w:szCs w:val="20"/>
              </w:rPr>
              <w:t>P</w:t>
            </w:r>
            <w:r w:rsidRPr="001A5200">
              <w:rPr>
                <w:rFonts w:asciiTheme="majorBidi" w:hAnsiTheme="majorBidi" w:cstheme="majorBidi"/>
                <w:bCs/>
                <w:sz w:val="20"/>
                <w:szCs w:val="20"/>
                <w:vertAlign w:val="subscript"/>
              </w:rPr>
              <w:t>A-B</w:t>
            </w:r>
            <w:r w:rsidRPr="001A5200">
              <w:rPr>
                <w:rFonts w:asciiTheme="majorBidi" w:hAnsiTheme="majorBidi" w:cstheme="majorBidi"/>
                <w:b/>
                <w:sz w:val="20"/>
                <w:szCs w:val="20"/>
              </w:rPr>
              <w:t>=</w:t>
            </w:r>
            <w:r w:rsidRPr="001A5200">
              <w:rPr>
                <w:rFonts w:asciiTheme="majorBidi" w:hAnsiTheme="majorBidi" w:cstheme="majorBidi"/>
                <w:bCs/>
                <w:sz w:val="20"/>
                <w:szCs w:val="20"/>
              </w:rPr>
              <w:t>0.658</w:t>
            </w:r>
          </w:p>
          <w:p w14:paraId="69A55D20" w14:textId="77777777" w:rsidR="005D2805" w:rsidRPr="001A5200" w:rsidRDefault="005D2805" w:rsidP="00505EA3">
            <w:pPr>
              <w:bidi w:val="0"/>
              <w:spacing w:after="0" w:line="240" w:lineRule="auto"/>
              <w:jc w:val="center"/>
              <w:rPr>
                <w:rFonts w:asciiTheme="majorBidi" w:hAnsiTheme="majorBidi" w:cstheme="majorBidi"/>
                <w:bCs/>
                <w:sz w:val="20"/>
                <w:szCs w:val="20"/>
              </w:rPr>
            </w:pPr>
            <w:r w:rsidRPr="001A5200">
              <w:rPr>
                <w:rFonts w:asciiTheme="majorBidi" w:hAnsiTheme="majorBidi" w:cstheme="majorBidi"/>
                <w:bCs/>
                <w:sz w:val="20"/>
                <w:szCs w:val="20"/>
              </w:rPr>
              <w:t>P</w:t>
            </w:r>
            <w:r w:rsidRPr="001A5200">
              <w:rPr>
                <w:rFonts w:asciiTheme="majorBidi" w:hAnsiTheme="majorBidi" w:cstheme="majorBidi"/>
                <w:bCs/>
                <w:sz w:val="20"/>
                <w:szCs w:val="20"/>
                <w:vertAlign w:val="subscript"/>
              </w:rPr>
              <w:t>A-C</w:t>
            </w:r>
            <w:r w:rsidRPr="001A5200">
              <w:rPr>
                <w:rFonts w:asciiTheme="majorBidi" w:hAnsiTheme="majorBidi" w:cstheme="majorBidi"/>
                <w:b/>
                <w:sz w:val="20"/>
                <w:szCs w:val="20"/>
              </w:rPr>
              <w:t>=0.009</w:t>
            </w:r>
          </w:p>
          <w:p w14:paraId="07F280FA"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Cs/>
                <w:sz w:val="20"/>
                <w:szCs w:val="20"/>
              </w:rPr>
              <w:t>P</w:t>
            </w:r>
            <w:r w:rsidRPr="001A5200">
              <w:rPr>
                <w:rFonts w:asciiTheme="majorBidi" w:hAnsiTheme="majorBidi" w:cstheme="majorBidi"/>
                <w:bCs/>
                <w:sz w:val="20"/>
                <w:szCs w:val="20"/>
                <w:vertAlign w:val="subscript"/>
              </w:rPr>
              <w:t>B-C</w:t>
            </w:r>
            <w:r w:rsidRPr="001A5200">
              <w:rPr>
                <w:rFonts w:asciiTheme="majorBidi" w:hAnsiTheme="majorBidi" w:cstheme="majorBidi"/>
                <w:b/>
                <w:sz w:val="20"/>
                <w:szCs w:val="20"/>
              </w:rPr>
              <w:t>=0.009</w:t>
            </w:r>
          </w:p>
        </w:tc>
      </w:tr>
      <w:tr w:rsidR="00505EA3" w:rsidRPr="001A5200" w14:paraId="1A0D49DD" w14:textId="77777777" w:rsidTr="0053028A">
        <w:trPr>
          <w:trHeight w:val="63"/>
          <w:jc w:val="center"/>
        </w:trPr>
        <w:tc>
          <w:tcPr>
            <w:tcW w:w="587" w:type="pct"/>
            <w:vMerge/>
            <w:shd w:val="clear" w:color="auto" w:fill="auto"/>
            <w:vAlign w:val="center"/>
            <w:hideMark/>
          </w:tcPr>
          <w:p w14:paraId="32744E4D" w14:textId="77777777" w:rsidR="005D2805" w:rsidRPr="001A5200" w:rsidRDefault="005D2805" w:rsidP="00505EA3">
            <w:pPr>
              <w:bidi w:val="0"/>
              <w:spacing w:after="0" w:line="240" w:lineRule="auto"/>
              <w:jc w:val="both"/>
              <w:rPr>
                <w:rFonts w:asciiTheme="majorBidi" w:hAnsiTheme="majorBidi" w:cstheme="majorBidi"/>
                <w:b/>
                <w:bCs/>
                <w:sz w:val="20"/>
                <w:szCs w:val="20"/>
              </w:rPr>
            </w:pPr>
          </w:p>
        </w:tc>
        <w:tc>
          <w:tcPr>
            <w:tcW w:w="594" w:type="pct"/>
            <w:shd w:val="clear" w:color="auto" w:fill="auto"/>
            <w:vAlign w:val="center"/>
            <w:hideMark/>
          </w:tcPr>
          <w:p w14:paraId="32ECBE02" w14:textId="77777777" w:rsidR="005D2805" w:rsidRPr="001A5200" w:rsidRDefault="005D2805"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Positive</w:t>
            </w:r>
          </w:p>
        </w:tc>
        <w:tc>
          <w:tcPr>
            <w:tcW w:w="289" w:type="pct"/>
            <w:shd w:val="clear" w:color="auto" w:fill="auto"/>
            <w:vAlign w:val="center"/>
          </w:tcPr>
          <w:p w14:paraId="3F422AFE"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17</w:t>
            </w:r>
          </w:p>
        </w:tc>
        <w:tc>
          <w:tcPr>
            <w:tcW w:w="447" w:type="pct"/>
            <w:shd w:val="clear" w:color="auto" w:fill="auto"/>
            <w:vAlign w:val="center"/>
          </w:tcPr>
          <w:p w14:paraId="68782B10"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85.0%</w:t>
            </w:r>
          </w:p>
        </w:tc>
        <w:tc>
          <w:tcPr>
            <w:tcW w:w="289" w:type="pct"/>
            <w:shd w:val="clear" w:color="auto" w:fill="auto"/>
            <w:vAlign w:val="center"/>
          </w:tcPr>
          <w:p w14:paraId="6518E804"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17</w:t>
            </w:r>
          </w:p>
        </w:tc>
        <w:tc>
          <w:tcPr>
            <w:tcW w:w="448" w:type="pct"/>
            <w:shd w:val="clear" w:color="auto" w:fill="auto"/>
            <w:vAlign w:val="center"/>
          </w:tcPr>
          <w:p w14:paraId="0789CE2E"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85.0%</w:t>
            </w:r>
          </w:p>
        </w:tc>
        <w:tc>
          <w:tcPr>
            <w:tcW w:w="355" w:type="pct"/>
            <w:shd w:val="clear" w:color="auto" w:fill="auto"/>
            <w:vAlign w:val="center"/>
          </w:tcPr>
          <w:p w14:paraId="4CB75D54"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8</w:t>
            </w:r>
          </w:p>
        </w:tc>
        <w:tc>
          <w:tcPr>
            <w:tcW w:w="661" w:type="pct"/>
            <w:shd w:val="clear" w:color="auto" w:fill="auto"/>
            <w:vAlign w:val="center"/>
          </w:tcPr>
          <w:p w14:paraId="31843635"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40.0%</w:t>
            </w:r>
          </w:p>
        </w:tc>
        <w:tc>
          <w:tcPr>
            <w:tcW w:w="397" w:type="pct"/>
            <w:vMerge/>
            <w:shd w:val="clear" w:color="auto" w:fill="auto"/>
            <w:vAlign w:val="center"/>
          </w:tcPr>
          <w:p w14:paraId="38206F2A" w14:textId="77777777" w:rsidR="005D2805" w:rsidRPr="001A5200" w:rsidRDefault="005D2805" w:rsidP="00505EA3">
            <w:pPr>
              <w:bidi w:val="0"/>
              <w:spacing w:after="0" w:line="240" w:lineRule="auto"/>
              <w:jc w:val="center"/>
              <w:rPr>
                <w:rFonts w:asciiTheme="majorBidi" w:hAnsiTheme="majorBidi" w:cstheme="majorBidi"/>
                <w:sz w:val="20"/>
                <w:szCs w:val="20"/>
              </w:rPr>
            </w:pPr>
          </w:p>
        </w:tc>
        <w:tc>
          <w:tcPr>
            <w:tcW w:w="933" w:type="pct"/>
            <w:vMerge/>
            <w:shd w:val="clear" w:color="auto" w:fill="auto"/>
          </w:tcPr>
          <w:p w14:paraId="4F5564EA" w14:textId="77777777" w:rsidR="005D2805" w:rsidRPr="001A5200" w:rsidRDefault="005D2805" w:rsidP="00505EA3">
            <w:pPr>
              <w:bidi w:val="0"/>
              <w:spacing w:after="0" w:line="240" w:lineRule="auto"/>
              <w:jc w:val="center"/>
              <w:rPr>
                <w:rFonts w:asciiTheme="majorBidi" w:hAnsiTheme="majorBidi" w:cstheme="majorBidi"/>
                <w:sz w:val="20"/>
                <w:szCs w:val="20"/>
              </w:rPr>
            </w:pPr>
          </w:p>
        </w:tc>
      </w:tr>
      <w:tr w:rsidR="00505EA3" w:rsidRPr="001A5200" w14:paraId="79B302BC" w14:textId="77777777" w:rsidTr="0053028A">
        <w:trPr>
          <w:trHeight w:val="87"/>
          <w:jc w:val="center"/>
        </w:trPr>
        <w:tc>
          <w:tcPr>
            <w:tcW w:w="587" w:type="pct"/>
            <w:vMerge w:val="restart"/>
            <w:shd w:val="clear" w:color="auto" w:fill="auto"/>
            <w:vAlign w:val="center"/>
            <w:hideMark/>
          </w:tcPr>
          <w:p w14:paraId="0AD7697F" w14:textId="77777777" w:rsidR="005D2805" w:rsidRPr="001A5200" w:rsidRDefault="005D2805"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HTN</w:t>
            </w:r>
          </w:p>
        </w:tc>
        <w:tc>
          <w:tcPr>
            <w:tcW w:w="594" w:type="pct"/>
            <w:shd w:val="clear" w:color="auto" w:fill="auto"/>
            <w:vAlign w:val="center"/>
            <w:hideMark/>
          </w:tcPr>
          <w:p w14:paraId="04F6E82F" w14:textId="77777777" w:rsidR="005D2805" w:rsidRPr="001A5200" w:rsidRDefault="005D2805"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Negative</w:t>
            </w:r>
          </w:p>
        </w:tc>
        <w:tc>
          <w:tcPr>
            <w:tcW w:w="289" w:type="pct"/>
            <w:shd w:val="clear" w:color="auto" w:fill="auto"/>
            <w:vAlign w:val="center"/>
          </w:tcPr>
          <w:p w14:paraId="0F360BA6"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4</w:t>
            </w:r>
          </w:p>
        </w:tc>
        <w:tc>
          <w:tcPr>
            <w:tcW w:w="447" w:type="pct"/>
            <w:shd w:val="clear" w:color="auto" w:fill="auto"/>
            <w:vAlign w:val="center"/>
          </w:tcPr>
          <w:p w14:paraId="2769981A"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20.0%</w:t>
            </w:r>
          </w:p>
        </w:tc>
        <w:tc>
          <w:tcPr>
            <w:tcW w:w="289" w:type="pct"/>
            <w:shd w:val="clear" w:color="auto" w:fill="auto"/>
            <w:vAlign w:val="center"/>
          </w:tcPr>
          <w:p w14:paraId="18FCEB26"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8</w:t>
            </w:r>
          </w:p>
        </w:tc>
        <w:tc>
          <w:tcPr>
            <w:tcW w:w="448" w:type="pct"/>
            <w:shd w:val="clear" w:color="auto" w:fill="auto"/>
            <w:vAlign w:val="center"/>
          </w:tcPr>
          <w:p w14:paraId="39D5D225"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40.0%</w:t>
            </w:r>
          </w:p>
        </w:tc>
        <w:tc>
          <w:tcPr>
            <w:tcW w:w="355" w:type="pct"/>
            <w:shd w:val="clear" w:color="auto" w:fill="auto"/>
            <w:vAlign w:val="center"/>
          </w:tcPr>
          <w:p w14:paraId="5AEB97E7"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16</w:t>
            </w:r>
          </w:p>
        </w:tc>
        <w:tc>
          <w:tcPr>
            <w:tcW w:w="661" w:type="pct"/>
            <w:shd w:val="clear" w:color="auto" w:fill="auto"/>
            <w:vAlign w:val="center"/>
          </w:tcPr>
          <w:p w14:paraId="1B2F572E"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80.0%</w:t>
            </w:r>
          </w:p>
        </w:tc>
        <w:tc>
          <w:tcPr>
            <w:tcW w:w="397" w:type="pct"/>
            <w:vMerge w:val="restart"/>
            <w:shd w:val="clear" w:color="auto" w:fill="auto"/>
            <w:vAlign w:val="center"/>
          </w:tcPr>
          <w:p w14:paraId="02304686"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X</w:t>
            </w:r>
            <w:r w:rsidRPr="001A5200">
              <w:rPr>
                <w:rFonts w:asciiTheme="majorBidi" w:hAnsiTheme="majorBidi" w:cstheme="majorBidi"/>
                <w:sz w:val="20"/>
                <w:szCs w:val="20"/>
                <w:vertAlign w:val="superscript"/>
              </w:rPr>
              <w:t>2</w:t>
            </w:r>
            <w:r w:rsidRPr="001A5200">
              <w:rPr>
                <w:rFonts w:asciiTheme="majorBidi" w:hAnsiTheme="majorBidi" w:cstheme="majorBidi"/>
                <w:sz w:val="20"/>
                <w:szCs w:val="20"/>
              </w:rPr>
              <w:t>= 15.0</w:t>
            </w:r>
          </w:p>
        </w:tc>
        <w:tc>
          <w:tcPr>
            <w:tcW w:w="933" w:type="pct"/>
            <w:vMerge w:val="restart"/>
            <w:shd w:val="clear" w:color="auto" w:fill="auto"/>
            <w:vAlign w:val="center"/>
          </w:tcPr>
          <w:p w14:paraId="110E28BF"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0.001</w:t>
            </w:r>
          </w:p>
          <w:p w14:paraId="673DE55A" w14:textId="77777777" w:rsidR="005D2805" w:rsidRPr="001A5200" w:rsidRDefault="005D2805" w:rsidP="00505EA3">
            <w:pPr>
              <w:bidi w:val="0"/>
              <w:spacing w:after="0" w:line="240" w:lineRule="auto"/>
              <w:jc w:val="center"/>
              <w:rPr>
                <w:rFonts w:asciiTheme="majorBidi" w:hAnsiTheme="majorBidi" w:cstheme="majorBidi"/>
                <w:bCs/>
                <w:sz w:val="20"/>
                <w:szCs w:val="20"/>
              </w:rPr>
            </w:pPr>
            <w:r w:rsidRPr="001A5200">
              <w:rPr>
                <w:rFonts w:asciiTheme="majorBidi" w:hAnsiTheme="majorBidi" w:cstheme="majorBidi"/>
                <w:bCs/>
                <w:sz w:val="20"/>
                <w:szCs w:val="20"/>
              </w:rPr>
              <w:t>P</w:t>
            </w:r>
            <w:r w:rsidRPr="001A5200">
              <w:rPr>
                <w:rFonts w:asciiTheme="majorBidi" w:hAnsiTheme="majorBidi" w:cstheme="majorBidi"/>
                <w:bCs/>
                <w:sz w:val="20"/>
                <w:szCs w:val="20"/>
                <w:vertAlign w:val="subscript"/>
              </w:rPr>
              <w:t>A-B</w:t>
            </w:r>
            <w:r w:rsidRPr="001A5200">
              <w:rPr>
                <w:rFonts w:asciiTheme="majorBidi" w:hAnsiTheme="majorBidi" w:cstheme="majorBidi"/>
                <w:b/>
                <w:sz w:val="20"/>
                <w:szCs w:val="20"/>
              </w:rPr>
              <w:t>=</w:t>
            </w:r>
            <w:r w:rsidRPr="001A5200">
              <w:rPr>
                <w:rFonts w:asciiTheme="majorBidi" w:hAnsiTheme="majorBidi" w:cstheme="majorBidi"/>
                <w:bCs/>
                <w:sz w:val="20"/>
                <w:szCs w:val="20"/>
              </w:rPr>
              <w:t>0.301</w:t>
            </w:r>
          </w:p>
          <w:p w14:paraId="4C94A6DB" w14:textId="77777777" w:rsidR="005D2805" w:rsidRPr="001A5200" w:rsidRDefault="005D2805" w:rsidP="00505EA3">
            <w:pPr>
              <w:bidi w:val="0"/>
              <w:spacing w:after="0" w:line="240" w:lineRule="auto"/>
              <w:jc w:val="center"/>
              <w:rPr>
                <w:rFonts w:asciiTheme="majorBidi" w:hAnsiTheme="majorBidi" w:cstheme="majorBidi"/>
                <w:bCs/>
                <w:sz w:val="20"/>
                <w:szCs w:val="20"/>
              </w:rPr>
            </w:pPr>
            <w:r w:rsidRPr="001A5200">
              <w:rPr>
                <w:rFonts w:asciiTheme="majorBidi" w:hAnsiTheme="majorBidi" w:cstheme="majorBidi"/>
                <w:bCs/>
                <w:sz w:val="20"/>
                <w:szCs w:val="20"/>
              </w:rPr>
              <w:t>P</w:t>
            </w:r>
            <w:r w:rsidRPr="001A5200">
              <w:rPr>
                <w:rFonts w:asciiTheme="majorBidi" w:hAnsiTheme="majorBidi" w:cstheme="majorBidi"/>
                <w:bCs/>
                <w:sz w:val="20"/>
                <w:szCs w:val="20"/>
                <w:vertAlign w:val="subscript"/>
              </w:rPr>
              <w:t>A-C</w:t>
            </w:r>
            <w:r w:rsidRPr="001A5200">
              <w:rPr>
                <w:rFonts w:asciiTheme="majorBidi" w:hAnsiTheme="majorBidi" w:cstheme="majorBidi"/>
                <w:b/>
                <w:sz w:val="20"/>
                <w:szCs w:val="20"/>
              </w:rPr>
              <w:t>=0.001</w:t>
            </w:r>
          </w:p>
          <w:p w14:paraId="7DD1EE61" w14:textId="77777777" w:rsidR="005D2805" w:rsidRPr="001A5200" w:rsidRDefault="005D2805"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Cs/>
                <w:sz w:val="20"/>
                <w:szCs w:val="20"/>
              </w:rPr>
              <w:t>P</w:t>
            </w:r>
            <w:r w:rsidRPr="001A5200">
              <w:rPr>
                <w:rFonts w:asciiTheme="majorBidi" w:hAnsiTheme="majorBidi" w:cstheme="majorBidi"/>
                <w:bCs/>
                <w:sz w:val="20"/>
                <w:szCs w:val="20"/>
                <w:vertAlign w:val="subscript"/>
              </w:rPr>
              <w:t>B-C</w:t>
            </w:r>
            <w:r w:rsidRPr="001A5200">
              <w:rPr>
                <w:rFonts w:asciiTheme="majorBidi" w:hAnsiTheme="majorBidi" w:cstheme="majorBidi"/>
                <w:b/>
                <w:sz w:val="20"/>
                <w:szCs w:val="20"/>
              </w:rPr>
              <w:t>=0.024</w:t>
            </w:r>
          </w:p>
        </w:tc>
      </w:tr>
      <w:tr w:rsidR="00505EA3" w:rsidRPr="001A5200" w14:paraId="130E3121" w14:textId="77777777" w:rsidTr="0053028A">
        <w:trPr>
          <w:trHeight w:val="108"/>
          <w:jc w:val="center"/>
        </w:trPr>
        <w:tc>
          <w:tcPr>
            <w:tcW w:w="587" w:type="pct"/>
            <w:vMerge/>
            <w:shd w:val="clear" w:color="auto" w:fill="auto"/>
            <w:vAlign w:val="center"/>
            <w:hideMark/>
          </w:tcPr>
          <w:p w14:paraId="637CDE1B" w14:textId="77777777" w:rsidR="005D2805" w:rsidRPr="001A5200" w:rsidRDefault="005D2805" w:rsidP="00505EA3">
            <w:pPr>
              <w:bidi w:val="0"/>
              <w:spacing w:after="0" w:line="240" w:lineRule="auto"/>
              <w:jc w:val="both"/>
              <w:rPr>
                <w:rFonts w:asciiTheme="majorBidi" w:hAnsiTheme="majorBidi" w:cstheme="majorBidi"/>
                <w:b/>
                <w:bCs/>
                <w:sz w:val="20"/>
                <w:szCs w:val="20"/>
              </w:rPr>
            </w:pPr>
          </w:p>
        </w:tc>
        <w:tc>
          <w:tcPr>
            <w:tcW w:w="594" w:type="pct"/>
            <w:shd w:val="clear" w:color="auto" w:fill="auto"/>
            <w:vAlign w:val="center"/>
            <w:hideMark/>
          </w:tcPr>
          <w:p w14:paraId="48619CBB" w14:textId="77777777" w:rsidR="005D2805" w:rsidRPr="001A5200" w:rsidRDefault="005D2805"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Positive</w:t>
            </w:r>
          </w:p>
        </w:tc>
        <w:tc>
          <w:tcPr>
            <w:tcW w:w="289" w:type="pct"/>
            <w:shd w:val="clear" w:color="auto" w:fill="auto"/>
            <w:vAlign w:val="center"/>
          </w:tcPr>
          <w:p w14:paraId="63C6937D"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16</w:t>
            </w:r>
          </w:p>
        </w:tc>
        <w:tc>
          <w:tcPr>
            <w:tcW w:w="447" w:type="pct"/>
            <w:shd w:val="clear" w:color="auto" w:fill="auto"/>
            <w:vAlign w:val="center"/>
          </w:tcPr>
          <w:p w14:paraId="54150F48"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80.0%</w:t>
            </w:r>
          </w:p>
        </w:tc>
        <w:tc>
          <w:tcPr>
            <w:tcW w:w="289" w:type="pct"/>
            <w:shd w:val="clear" w:color="auto" w:fill="auto"/>
            <w:vAlign w:val="center"/>
          </w:tcPr>
          <w:p w14:paraId="46F81413"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12</w:t>
            </w:r>
          </w:p>
        </w:tc>
        <w:tc>
          <w:tcPr>
            <w:tcW w:w="448" w:type="pct"/>
            <w:shd w:val="clear" w:color="auto" w:fill="auto"/>
            <w:vAlign w:val="center"/>
          </w:tcPr>
          <w:p w14:paraId="3626EB5A"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60.0%</w:t>
            </w:r>
          </w:p>
        </w:tc>
        <w:tc>
          <w:tcPr>
            <w:tcW w:w="355" w:type="pct"/>
            <w:shd w:val="clear" w:color="auto" w:fill="auto"/>
            <w:vAlign w:val="center"/>
          </w:tcPr>
          <w:p w14:paraId="0E1FBC5B"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4</w:t>
            </w:r>
          </w:p>
        </w:tc>
        <w:tc>
          <w:tcPr>
            <w:tcW w:w="661" w:type="pct"/>
            <w:shd w:val="clear" w:color="auto" w:fill="auto"/>
            <w:vAlign w:val="center"/>
          </w:tcPr>
          <w:p w14:paraId="7289AEAC" w14:textId="77777777" w:rsidR="005D2805" w:rsidRPr="001A5200" w:rsidRDefault="005D2805" w:rsidP="00505EA3">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20.0%</w:t>
            </w:r>
          </w:p>
        </w:tc>
        <w:tc>
          <w:tcPr>
            <w:tcW w:w="397" w:type="pct"/>
            <w:vMerge/>
            <w:shd w:val="clear" w:color="auto" w:fill="auto"/>
            <w:vAlign w:val="center"/>
          </w:tcPr>
          <w:p w14:paraId="26FEDE7E" w14:textId="77777777" w:rsidR="005D2805" w:rsidRPr="001A5200" w:rsidRDefault="005D2805" w:rsidP="00505EA3">
            <w:pPr>
              <w:bidi w:val="0"/>
              <w:spacing w:after="0" w:line="240" w:lineRule="auto"/>
              <w:jc w:val="center"/>
              <w:rPr>
                <w:rFonts w:asciiTheme="majorBidi" w:hAnsiTheme="majorBidi" w:cstheme="majorBidi"/>
                <w:sz w:val="20"/>
                <w:szCs w:val="20"/>
              </w:rPr>
            </w:pPr>
          </w:p>
        </w:tc>
        <w:tc>
          <w:tcPr>
            <w:tcW w:w="933" w:type="pct"/>
            <w:vMerge/>
            <w:shd w:val="clear" w:color="auto" w:fill="auto"/>
          </w:tcPr>
          <w:p w14:paraId="1AAA51BB" w14:textId="77777777" w:rsidR="005D2805" w:rsidRPr="001A5200" w:rsidRDefault="005D2805" w:rsidP="00505EA3">
            <w:pPr>
              <w:bidi w:val="0"/>
              <w:spacing w:after="0" w:line="240" w:lineRule="auto"/>
              <w:jc w:val="center"/>
              <w:rPr>
                <w:rFonts w:asciiTheme="majorBidi" w:hAnsiTheme="majorBidi" w:cstheme="majorBidi"/>
                <w:sz w:val="20"/>
                <w:szCs w:val="20"/>
              </w:rPr>
            </w:pPr>
          </w:p>
        </w:tc>
      </w:tr>
    </w:tbl>
    <w:p w14:paraId="00817415" w14:textId="77777777" w:rsidR="00EB11B1" w:rsidRPr="001A5200" w:rsidRDefault="00EB11B1" w:rsidP="00505EA3">
      <w:pPr>
        <w:bidi w:val="0"/>
        <w:spacing w:after="0" w:line="240" w:lineRule="auto"/>
        <w:jc w:val="both"/>
        <w:rPr>
          <w:rFonts w:asciiTheme="majorBidi" w:hAnsiTheme="majorBidi" w:cstheme="majorBidi"/>
          <w:sz w:val="20"/>
          <w:szCs w:val="20"/>
        </w:rPr>
        <w:sectPr w:rsidR="00EB11B1" w:rsidRPr="001A5200" w:rsidSect="00B83D64">
          <w:type w:val="continuous"/>
          <w:pgSz w:w="11909" w:h="16834" w:code="9"/>
          <w:pgMar w:top="1440" w:right="929" w:bottom="1440" w:left="1080" w:header="720" w:footer="720" w:gutter="0"/>
          <w:cols w:space="720"/>
          <w:docGrid w:linePitch="360"/>
        </w:sectPr>
      </w:pPr>
    </w:p>
    <w:p w14:paraId="62B34A81" w14:textId="6B70789E" w:rsidR="00C601E7" w:rsidRPr="001A5200" w:rsidRDefault="00EB795A" w:rsidP="00505EA3">
      <w:pPr>
        <w:bidi w:val="0"/>
        <w:spacing w:after="0" w:line="240" w:lineRule="auto"/>
        <w:jc w:val="both"/>
        <w:rPr>
          <w:rFonts w:asciiTheme="majorBidi" w:hAnsiTheme="majorBidi" w:cstheme="majorBidi"/>
          <w:sz w:val="20"/>
          <w:szCs w:val="20"/>
        </w:rPr>
      </w:pPr>
      <w:proofErr w:type="gramStart"/>
      <w:r w:rsidRPr="001A5200">
        <w:rPr>
          <w:rFonts w:asciiTheme="majorBidi" w:hAnsiTheme="majorBidi" w:cstheme="majorBidi"/>
          <w:sz w:val="20"/>
          <w:szCs w:val="20"/>
        </w:rPr>
        <w:t>An</w:t>
      </w:r>
      <w:proofErr w:type="gramEnd"/>
      <w:r w:rsidRPr="001A5200">
        <w:rPr>
          <w:rFonts w:asciiTheme="majorBidi" w:hAnsiTheme="majorBidi" w:cstheme="majorBidi"/>
          <w:sz w:val="20"/>
          <w:szCs w:val="20"/>
        </w:rPr>
        <w:t xml:space="preserve"> very significant P value is less than 0.01, while a p-value less than 0.05 is also considered significant. SD stands for standard deviation.</w:t>
      </w:r>
    </w:p>
    <w:p w14:paraId="58E672CE" w14:textId="525AADE5" w:rsidR="006A4242" w:rsidRPr="001A5200" w:rsidRDefault="00C601E7" w:rsidP="00505EA3">
      <w:pPr>
        <w:bidi w:val="0"/>
        <w:spacing w:after="0" w:line="240" w:lineRule="auto"/>
        <w:jc w:val="both"/>
        <w:rPr>
          <w:rFonts w:asciiTheme="majorBidi" w:hAnsiTheme="majorBidi" w:cstheme="majorBidi"/>
          <w:sz w:val="20"/>
          <w:szCs w:val="20"/>
        </w:rPr>
      </w:pPr>
      <w:r w:rsidRPr="001A5200">
        <w:rPr>
          <w:rFonts w:asciiTheme="majorBidi" w:hAnsiTheme="majorBidi" w:cstheme="majorBidi"/>
          <w:sz w:val="20"/>
          <w:szCs w:val="20"/>
        </w:rPr>
        <w:t>X2= Chi- Square test</w:t>
      </w:r>
    </w:p>
    <w:p w14:paraId="4E426721" w14:textId="77777777" w:rsidR="00EB11B1" w:rsidRPr="001A5200" w:rsidRDefault="00EB11B1" w:rsidP="00505EA3">
      <w:pPr>
        <w:bidi w:val="0"/>
        <w:spacing w:after="0" w:line="240" w:lineRule="auto"/>
        <w:jc w:val="both"/>
        <w:rPr>
          <w:rFonts w:asciiTheme="majorBidi" w:hAnsiTheme="majorBidi" w:cstheme="majorBidi"/>
          <w:b/>
          <w:bCs/>
          <w:sz w:val="20"/>
          <w:szCs w:val="20"/>
        </w:rPr>
        <w:sectPr w:rsidR="00EB11B1" w:rsidRPr="001A5200" w:rsidSect="00B83D64">
          <w:type w:val="continuous"/>
          <w:pgSz w:w="11909" w:h="16834" w:code="9"/>
          <w:pgMar w:top="1440" w:right="929" w:bottom="1440" w:left="1080" w:header="720" w:footer="720" w:gutter="0"/>
          <w:cols w:space="720"/>
          <w:docGrid w:linePitch="360"/>
        </w:sectPr>
      </w:pPr>
    </w:p>
    <w:p w14:paraId="08CF0EB8" w14:textId="3B782619" w:rsidR="00F540FC" w:rsidRPr="001A5200" w:rsidRDefault="00D65590" w:rsidP="00505EA3">
      <w:pPr>
        <w:bidi w:val="0"/>
        <w:spacing w:after="12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lastRenderedPageBreak/>
        <w:t xml:space="preserve">Table </w:t>
      </w:r>
      <w:r>
        <w:rPr>
          <w:rFonts w:asciiTheme="majorBidi" w:hAnsiTheme="majorBidi" w:cstheme="majorBidi"/>
          <w:b/>
          <w:bCs/>
          <w:sz w:val="20"/>
          <w:szCs w:val="20"/>
        </w:rPr>
        <w:t>(</w:t>
      </w:r>
      <w:r w:rsidRPr="001A5200">
        <w:rPr>
          <w:rFonts w:asciiTheme="majorBidi" w:hAnsiTheme="majorBidi" w:cstheme="majorBidi"/>
          <w:b/>
          <w:bCs/>
          <w:sz w:val="20"/>
          <w:szCs w:val="20"/>
        </w:rPr>
        <w:t>3)</w:t>
      </w:r>
      <w:r>
        <w:rPr>
          <w:rFonts w:asciiTheme="majorBidi" w:hAnsiTheme="majorBidi" w:cstheme="majorBidi"/>
          <w:b/>
          <w:bCs/>
          <w:sz w:val="20"/>
          <w:szCs w:val="20"/>
        </w:rPr>
        <w:t xml:space="preserve"> </w:t>
      </w:r>
      <w:r w:rsidR="00EB795A" w:rsidRPr="00D65590">
        <w:rPr>
          <w:rFonts w:asciiTheme="majorBidi" w:hAnsiTheme="majorBidi" w:cstheme="majorBidi"/>
          <w:sz w:val="20"/>
          <w:szCs w:val="20"/>
        </w:rPr>
        <w:t xml:space="preserve">Early and late Troponin I </w:t>
      </w:r>
      <w:proofErr w:type="gramStart"/>
      <w:r w:rsidR="00EB795A" w:rsidRPr="00D65590">
        <w:rPr>
          <w:rFonts w:asciiTheme="majorBidi" w:hAnsiTheme="majorBidi" w:cstheme="majorBidi"/>
          <w:sz w:val="20"/>
          <w:szCs w:val="20"/>
        </w:rPr>
        <w:t>levels</w:t>
      </w:r>
      <w:proofErr w:type="gramEnd"/>
      <w:r w:rsidR="00EB795A" w:rsidRPr="00D65590">
        <w:rPr>
          <w:rFonts w:asciiTheme="majorBidi" w:hAnsiTheme="majorBidi" w:cstheme="majorBidi"/>
          <w:sz w:val="20"/>
          <w:szCs w:val="20"/>
        </w:rPr>
        <w:t xml:space="preserve"> in the three groups </w:t>
      </w:r>
      <w:proofErr w:type="spellStart"/>
      <w:r w:rsidR="00EB795A" w:rsidRPr="00D65590">
        <w:rPr>
          <w:rFonts w:asciiTheme="majorBidi" w:hAnsiTheme="majorBidi" w:cstheme="majorBidi"/>
          <w:sz w:val="20"/>
          <w:szCs w:val="20"/>
        </w:rPr>
        <w:t>analysed</w:t>
      </w:r>
      <w:proofErr w:type="spellEnd"/>
      <w:r>
        <w:rPr>
          <w:rFonts w:asciiTheme="majorBidi" w:hAnsiTheme="majorBidi" w:cstheme="majorBidi"/>
          <w:b/>
          <w:bCs/>
          <w:sz w:val="20"/>
          <w:szCs w:val="20"/>
        </w:rPr>
        <w:t>.</w:t>
      </w:r>
      <w:r w:rsidR="00EB795A" w:rsidRPr="001A5200">
        <w:rPr>
          <w:rFonts w:asciiTheme="majorBidi" w:hAnsiTheme="majorBidi" w:cstheme="majorBidi"/>
          <w:b/>
          <w:bCs/>
          <w:sz w:val="20"/>
          <w:szCs w:val="20"/>
        </w:rPr>
        <w:t xml:space="preserve"> </w:t>
      </w:r>
    </w:p>
    <w:tbl>
      <w:tblPr>
        <w:tblW w:w="5000" w:type="pct"/>
        <w:jc w:val="center"/>
        <w:tblBorders>
          <w:top w:val="single" w:sz="4" w:space="0" w:color="auto"/>
          <w:bottom w:val="single" w:sz="4" w:space="0" w:color="auto"/>
        </w:tblBorders>
        <w:tblLook w:val="04A0" w:firstRow="1" w:lastRow="0" w:firstColumn="1" w:lastColumn="0" w:noHBand="0" w:noVBand="1"/>
      </w:tblPr>
      <w:tblGrid>
        <w:gridCol w:w="835"/>
        <w:gridCol w:w="1477"/>
        <w:gridCol w:w="2018"/>
        <w:gridCol w:w="1746"/>
        <w:gridCol w:w="1610"/>
        <w:gridCol w:w="810"/>
        <w:gridCol w:w="1404"/>
      </w:tblGrid>
      <w:tr w:rsidR="00505EA3" w:rsidRPr="001A5200" w14:paraId="1D9921F5" w14:textId="77777777" w:rsidTr="00D65590">
        <w:trPr>
          <w:trHeight w:val="77"/>
          <w:jc w:val="center"/>
        </w:trPr>
        <w:tc>
          <w:tcPr>
            <w:tcW w:w="1168" w:type="pct"/>
            <w:gridSpan w:val="2"/>
            <w:tcBorders>
              <w:top w:val="single" w:sz="4" w:space="0" w:color="auto"/>
              <w:bottom w:val="single" w:sz="4" w:space="0" w:color="auto"/>
            </w:tcBorders>
            <w:shd w:val="clear" w:color="auto" w:fill="auto"/>
            <w:vAlign w:val="center"/>
          </w:tcPr>
          <w:p w14:paraId="06C6E656" w14:textId="77777777" w:rsidR="00F540FC" w:rsidRPr="001A5200" w:rsidRDefault="00F540FC"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Troponin I (TNI) (ng/ml)</w:t>
            </w:r>
          </w:p>
        </w:tc>
        <w:tc>
          <w:tcPr>
            <w:tcW w:w="1019" w:type="pct"/>
            <w:tcBorders>
              <w:top w:val="single" w:sz="4" w:space="0" w:color="auto"/>
              <w:bottom w:val="single" w:sz="4" w:space="0" w:color="auto"/>
            </w:tcBorders>
            <w:shd w:val="clear" w:color="auto" w:fill="auto"/>
            <w:vAlign w:val="center"/>
            <w:hideMark/>
          </w:tcPr>
          <w:p w14:paraId="177F26AB" w14:textId="77777777" w:rsidR="00F540FC" w:rsidRPr="001A5200" w:rsidRDefault="00F540FC"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MI group</w:t>
            </w:r>
          </w:p>
          <w:p w14:paraId="03FB3528" w14:textId="77777777" w:rsidR="00F540FC" w:rsidRPr="001A5200" w:rsidRDefault="00F540FC"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(A)</w:t>
            </w:r>
          </w:p>
          <w:p w14:paraId="5732FA80" w14:textId="77777777" w:rsidR="00F540FC" w:rsidRPr="001A5200" w:rsidRDefault="00F540FC" w:rsidP="00505EA3">
            <w:pPr>
              <w:bidi w:val="0"/>
              <w:spacing w:after="0" w:line="240" w:lineRule="auto"/>
              <w:jc w:val="both"/>
              <w:rPr>
                <w:rFonts w:asciiTheme="majorBidi" w:hAnsiTheme="majorBidi" w:cstheme="majorBidi"/>
                <w:b/>
                <w:bCs/>
                <w:sz w:val="20"/>
                <w:szCs w:val="20"/>
                <w:rtl/>
                <w:lang w:bidi="ar-EG"/>
              </w:rPr>
            </w:pPr>
            <w:r w:rsidRPr="001A5200">
              <w:rPr>
                <w:rFonts w:asciiTheme="majorBidi" w:hAnsiTheme="majorBidi" w:cstheme="majorBidi"/>
                <w:b/>
                <w:bCs/>
                <w:sz w:val="20"/>
                <w:szCs w:val="20"/>
              </w:rPr>
              <w:t>(N=20)</w:t>
            </w:r>
          </w:p>
        </w:tc>
        <w:tc>
          <w:tcPr>
            <w:tcW w:w="882" w:type="pct"/>
            <w:tcBorders>
              <w:top w:val="single" w:sz="4" w:space="0" w:color="auto"/>
              <w:bottom w:val="single" w:sz="4" w:space="0" w:color="auto"/>
            </w:tcBorders>
            <w:shd w:val="clear" w:color="auto" w:fill="auto"/>
            <w:vAlign w:val="center"/>
          </w:tcPr>
          <w:p w14:paraId="59C0D877" w14:textId="77777777" w:rsidR="00F540FC" w:rsidRPr="001A5200" w:rsidRDefault="00F540FC"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UA group</w:t>
            </w:r>
          </w:p>
          <w:p w14:paraId="563D3082" w14:textId="77777777" w:rsidR="00F540FC" w:rsidRPr="001A5200" w:rsidRDefault="00F540FC"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(B)</w:t>
            </w:r>
          </w:p>
          <w:p w14:paraId="047ADEEB" w14:textId="77777777" w:rsidR="00F540FC" w:rsidRPr="001A5200" w:rsidRDefault="00F540FC"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(N=20)</w:t>
            </w:r>
          </w:p>
        </w:tc>
        <w:tc>
          <w:tcPr>
            <w:tcW w:w="813" w:type="pct"/>
            <w:tcBorders>
              <w:top w:val="single" w:sz="4" w:space="0" w:color="auto"/>
              <w:bottom w:val="single" w:sz="4" w:space="0" w:color="auto"/>
            </w:tcBorders>
            <w:shd w:val="clear" w:color="auto" w:fill="auto"/>
            <w:vAlign w:val="center"/>
            <w:hideMark/>
          </w:tcPr>
          <w:p w14:paraId="78C6A23A" w14:textId="77777777" w:rsidR="00F540FC" w:rsidRPr="001A5200" w:rsidRDefault="00F540FC"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 xml:space="preserve">Control </w:t>
            </w:r>
            <w:proofErr w:type="gramStart"/>
            <w:r w:rsidRPr="001A5200">
              <w:rPr>
                <w:rFonts w:asciiTheme="majorBidi" w:hAnsiTheme="majorBidi" w:cstheme="majorBidi"/>
                <w:b/>
                <w:bCs/>
                <w:sz w:val="20"/>
                <w:szCs w:val="20"/>
              </w:rPr>
              <w:t>group</w:t>
            </w:r>
            <w:proofErr w:type="gramEnd"/>
          </w:p>
          <w:p w14:paraId="774A887F" w14:textId="77777777" w:rsidR="00F540FC" w:rsidRPr="001A5200" w:rsidRDefault="00F540FC"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(C)</w:t>
            </w:r>
          </w:p>
          <w:p w14:paraId="0163730A" w14:textId="77777777" w:rsidR="00F540FC" w:rsidRPr="001A5200" w:rsidRDefault="00F540FC"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(N=20)</w:t>
            </w:r>
          </w:p>
        </w:tc>
        <w:tc>
          <w:tcPr>
            <w:tcW w:w="409" w:type="pct"/>
            <w:tcBorders>
              <w:top w:val="single" w:sz="4" w:space="0" w:color="auto"/>
              <w:bottom w:val="single" w:sz="4" w:space="0" w:color="auto"/>
            </w:tcBorders>
            <w:shd w:val="clear" w:color="auto" w:fill="auto"/>
            <w:vAlign w:val="center"/>
            <w:hideMark/>
          </w:tcPr>
          <w:p w14:paraId="5F4106B2" w14:textId="77777777" w:rsidR="00F540FC" w:rsidRPr="001A5200" w:rsidRDefault="00F540FC"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Test value</w:t>
            </w:r>
          </w:p>
        </w:tc>
        <w:tc>
          <w:tcPr>
            <w:tcW w:w="709" w:type="pct"/>
            <w:tcBorders>
              <w:top w:val="single" w:sz="4" w:space="0" w:color="auto"/>
              <w:bottom w:val="single" w:sz="4" w:space="0" w:color="auto"/>
            </w:tcBorders>
            <w:shd w:val="clear" w:color="auto" w:fill="auto"/>
            <w:vAlign w:val="center"/>
          </w:tcPr>
          <w:p w14:paraId="5CAAC01E" w14:textId="77777777" w:rsidR="00F540FC" w:rsidRPr="001A5200" w:rsidRDefault="00F540FC"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P-value</w:t>
            </w:r>
          </w:p>
        </w:tc>
      </w:tr>
      <w:tr w:rsidR="00505EA3" w:rsidRPr="001A5200" w14:paraId="31C46FB1" w14:textId="77777777" w:rsidTr="00D65590">
        <w:trPr>
          <w:trHeight w:val="70"/>
          <w:jc w:val="center"/>
        </w:trPr>
        <w:tc>
          <w:tcPr>
            <w:tcW w:w="422" w:type="pct"/>
            <w:vMerge w:val="restart"/>
            <w:tcBorders>
              <w:top w:val="single" w:sz="4" w:space="0" w:color="auto"/>
            </w:tcBorders>
            <w:shd w:val="clear" w:color="auto" w:fill="auto"/>
            <w:vAlign w:val="center"/>
            <w:hideMark/>
          </w:tcPr>
          <w:p w14:paraId="16B86C6E" w14:textId="7397AA33" w:rsidR="00F540FC" w:rsidRPr="001A5200" w:rsidRDefault="00F540FC" w:rsidP="00505EA3">
            <w:pPr>
              <w:bidi w:val="0"/>
              <w:spacing w:after="0" w:line="240" w:lineRule="auto"/>
              <w:jc w:val="both"/>
              <w:rPr>
                <w:rFonts w:asciiTheme="majorBidi" w:hAnsiTheme="majorBidi" w:cstheme="majorBidi"/>
                <w:b/>
                <w:bCs/>
                <w:sz w:val="20"/>
                <w:szCs w:val="20"/>
              </w:rPr>
            </w:pPr>
          </w:p>
        </w:tc>
        <w:tc>
          <w:tcPr>
            <w:tcW w:w="746" w:type="pct"/>
            <w:tcBorders>
              <w:top w:val="single" w:sz="4" w:space="0" w:color="auto"/>
            </w:tcBorders>
            <w:shd w:val="clear" w:color="auto" w:fill="auto"/>
            <w:vAlign w:val="center"/>
            <w:hideMark/>
          </w:tcPr>
          <w:p w14:paraId="3C2462D2" w14:textId="77777777" w:rsidR="00F540FC" w:rsidRPr="001A5200" w:rsidRDefault="00F540FC"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Mean± SD</w:t>
            </w:r>
          </w:p>
        </w:tc>
        <w:tc>
          <w:tcPr>
            <w:tcW w:w="1019" w:type="pct"/>
            <w:tcBorders>
              <w:top w:val="single" w:sz="4" w:space="0" w:color="auto"/>
            </w:tcBorders>
            <w:shd w:val="clear" w:color="auto" w:fill="auto"/>
            <w:vAlign w:val="center"/>
          </w:tcPr>
          <w:p w14:paraId="5AEFE83B" w14:textId="77777777" w:rsidR="00F540FC" w:rsidRPr="001A5200" w:rsidRDefault="00F540FC" w:rsidP="00505EA3">
            <w:pPr>
              <w:bidi w:val="0"/>
              <w:spacing w:after="0" w:line="240" w:lineRule="auto"/>
              <w:jc w:val="both"/>
              <w:rPr>
                <w:rFonts w:asciiTheme="majorBidi" w:hAnsiTheme="majorBidi" w:cstheme="majorBidi"/>
                <w:bCs/>
                <w:sz w:val="20"/>
                <w:szCs w:val="20"/>
              </w:rPr>
            </w:pPr>
            <w:r w:rsidRPr="001A5200">
              <w:rPr>
                <w:rFonts w:asciiTheme="majorBidi" w:hAnsiTheme="majorBidi" w:cstheme="majorBidi"/>
                <w:bCs/>
                <w:sz w:val="20"/>
                <w:szCs w:val="20"/>
              </w:rPr>
              <w:t>0.47± 0.70</w:t>
            </w:r>
          </w:p>
        </w:tc>
        <w:tc>
          <w:tcPr>
            <w:tcW w:w="882" w:type="pct"/>
            <w:tcBorders>
              <w:top w:val="single" w:sz="4" w:space="0" w:color="auto"/>
            </w:tcBorders>
            <w:shd w:val="clear" w:color="auto" w:fill="auto"/>
            <w:vAlign w:val="center"/>
          </w:tcPr>
          <w:p w14:paraId="40AD0663" w14:textId="77777777" w:rsidR="00F540FC" w:rsidRPr="001A5200" w:rsidRDefault="00F540FC" w:rsidP="00505EA3">
            <w:pPr>
              <w:bidi w:val="0"/>
              <w:spacing w:after="0" w:line="240" w:lineRule="auto"/>
              <w:jc w:val="both"/>
              <w:rPr>
                <w:rFonts w:asciiTheme="majorBidi" w:hAnsiTheme="majorBidi" w:cstheme="majorBidi"/>
                <w:bCs/>
                <w:sz w:val="20"/>
                <w:szCs w:val="20"/>
              </w:rPr>
            </w:pPr>
            <w:r w:rsidRPr="001A5200">
              <w:rPr>
                <w:rFonts w:asciiTheme="majorBidi" w:hAnsiTheme="majorBidi" w:cstheme="majorBidi"/>
                <w:bCs/>
                <w:sz w:val="20"/>
                <w:szCs w:val="20"/>
              </w:rPr>
              <w:t>0.01± 0.02</w:t>
            </w:r>
          </w:p>
        </w:tc>
        <w:tc>
          <w:tcPr>
            <w:tcW w:w="813" w:type="pct"/>
            <w:vMerge w:val="restart"/>
            <w:tcBorders>
              <w:top w:val="single" w:sz="4" w:space="0" w:color="auto"/>
            </w:tcBorders>
            <w:shd w:val="clear" w:color="auto" w:fill="auto"/>
            <w:vAlign w:val="center"/>
          </w:tcPr>
          <w:p w14:paraId="48DACD78" w14:textId="77777777" w:rsidR="00F540FC" w:rsidRPr="001A5200" w:rsidRDefault="00F540FC" w:rsidP="00505EA3">
            <w:pPr>
              <w:bidi w:val="0"/>
              <w:spacing w:after="0" w:line="240" w:lineRule="auto"/>
              <w:jc w:val="both"/>
              <w:rPr>
                <w:rFonts w:asciiTheme="majorBidi" w:hAnsiTheme="majorBidi" w:cstheme="majorBidi"/>
                <w:bCs/>
                <w:sz w:val="20"/>
                <w:szCs w:val="20"/>
              </w:rPr>
            </w:pPr>
            <w:r w:rsidRPr="001A5200">
              <w:rPr>
                <w:rFonts w:asciiTheme="majorBidi" w:hAnsiTheme="majorBidi" w:cstheme="majorBidi"/>
                <w:bCs/>
                <w:sz w:val="20"/>
                <w:szCs w:val="20"/>
              </w:rPr>
              <w:t>Negative</w:t>
            </w:r>
          </w:p>
        </w:tc>
        <w:tc>
          <w:tcPr>
            <w:tcW w:w="409" w:type="pct"/>
            <w:vMerge w:val="restart"/>
            <w:tcBorders>
              <w:top w:val="single" w:sz="4" w:space="0" w:color="auto"/>
            </w:tcBorders>
            <w:shd w:val="clear" w:color="auto" w:fill="auto"/>
            <w:vAlign w:val="center"/>
          </w:tcPr>
          <w:p w14:paraId="0D0955B4" w14:textId="77777777" w:rsidR="00F540FC" w:rsidRPr="001A5200" w:rsidRDefault="00F540FC" w:rsidP="00505EA3">
            <w:pPr>
              <w:bidi w:val="0"/>
              <w:spacing w:after="0" w:line="240" w:lineRule="auto"/>
              <w:jc w:val="both"/>
              <w:rPr>
                <w:rFonts w:asciiTheme="majorBidi" w:hAnsiTheme="majorBidi" w:cstheme="majorBidi"/>
                <w:bCs/>
                <w:sz w:val="20"/>
                <w:szCs w:val="20"/>
              </w:rPr>
            </w:pPr>
            <w:r w:rsidRPr="001A5200">
              <w:rPr>
                <w:rFonts w:asciiTheme="majorBidi" w:hAnsiTheme="majorBidi" w:cstheme="majorBidi"/>
                <w:i/>
                <w:iCs/>
                <w:sz w:val="20"/>
                <w:szCs w:val="20"/>
              </w:rPr>
              <w:t>KW</w:t>
            </w:r>
            <w:r w:rsidRPr="001A5200">
              <w:rPr>
                <w:rFonts w:asciiTheme="majorBidi" w:hAnsiTheme="majorBidi" w:cstheme="majorBidi"/>
                <w:bCs/>
                <w:sz w:val="20"/>
                <w:szCs w:val="20"/>
              </w:rPr>
              <w:t>= 14.27</w:t>
            </w:r>
          </w:p>
        </w:tc>
        <w:tc>
          <w:tcPr>
            <w:tcW w:w="709" w:type="pct"/>
            <w:vMerge w:val="restart"/>
            <w:tcBorders>
              <w:top w:val="single" w:sz="4" w:space="0" w:color="auto"/>
            </w:tcBorders>
            <w:shd w:val="clear" w:color="auto" w:fill="auto"/>
            <w:vAlign w:val="center"/>
          </w:tcPr>
          <w:p w14:paraId="3A299D74" w14:textId="77777777" w:rsidR="00F540FC" w:rsidRPr="001A5200" w:rsidRDefault="00F540FC" w:rsidP="00505EA3">
            <w:pPr>
              <w:bidi w:val="0"/>
              <w:spacing w:after="0" w:line="240" w:lineRule="auto"/>
              <w:jc w:val="both"/>
              <w:rPr>
                <w:rFonts w:asciiTheme="majorBidi" w:hAnsiTheme="majorBidi" w:cstheme="majorBidi"/>
                <w:b/>
                <w:sz w:val="20"/>
                <w:szCs w:val="20"/>
              </w:rPr>
            </w:pPr>
            <w:r w:rsidRPr="001A5200">
              <w:rPr>
                <w:rFonts w:asciiTheme="majorBidi" w:hAnsiTheme="majorBidi" w:cstheme="majorBidi"/>
                <w:b/>
                <w:sz w:val="20"/>
                <w:szCs w:val="20"/>
              </w:rPr>
              <w:t>0.001</w:t>
            </w:r>
          </w:p>
          <w:p w14:paraId="698A346B" w14:textId="77777777" w:rsidR="00F540FC" w:rsidRPr="001A5200" w:rsidRDefault="00F540FC" w:rsidP="00505EA3">
            <w:pPr>
              <w:bidi w:val="0"/>
              <w:spacing w:after="0" w:line="240" w:lineRule="auto"/>
              <w:jc w:val="both"/>
              <w:rPr>
                <w:rFonts w:asciiTheme="majorBidi" w:hAnsiTheme="majorBidi" w:cstheme="majorBidi"/>
                <w:bCs/>
                <w:sz w:val="20"/>
                <w:szCs w:val="20"/>
              </w:rPr>
            </w:pPr>
            <w:r w:rsidRPr="001A5200">
              <w:rPr>
                <w:rFonts w:asciiTheme="majorBidi" w:hAnsiTheme="majorBidi" w:cstheme="majorBidi"/>
                <w:bCs/>
                <w:sz w:val="20"/>
                <w:szCs w:val="20"/>
              </w:rPr>
              <w:t>P</w:t>
            </w:r>
            <w:r w:rsidRPr="001A5200">
              <w:rPr>
                <w:rFonts w:asciiTheme="majorBidi" w:hAnsiTheme="majorBidi" w:cstheme="majorBidi"/>
                <w:bCs/>
                <w:sz w:val="20"/>
                <w:szCs w:val="20"/>
                <w:vertAlign w:val="subscript"/>
              </w:rPr>
              <w:t>A-B</w:t>
            </w:r>
            <w:r w:rsidRPr="001A5200">
              <w:rPr>
                <w:rFonts w:asciiTheme="majorBidi" w:hAnsiTheme="majorBidi" w:cstheme="majorBidi"/>
                <w:b/>
                <w:sz w:val="20"/>
                <w:szCs w:val="20"/>
              </w:rPr>
              <w:t>=0.023</w:t>
            </w:r>
          </w:p>
          <w:p w14:paraId="7609DF6F" w14:textId="77777777" w:rsidR="00F540FC" w:rsidRPr="001A5200" w:rsidRDefault="00F540FC" w:rsidP="00505EA3">
            <w:pPr>
              <w:bidi w:val="0"/>
              <w:spacing w:after="0" w:line="240" w:lineRule="auto"/>
              <w:jc w:val="both"/>
              <w:rPr>
                <w:rFonts w:asciiTheme="majorBidi" w:hAnsiTheme="majorBidi" w:cstheme="majorBidi"/>
                <w:bCs/>
                <w:sz w:val="20"/>
                <w:szCs w:val="20"/>
              </w:rPr>
            </w:pPr>
            <w:r w:rsidRPr="001A5200">
              <w:rPr>
                <w:rFonts w:asciiTheme="majorBidi" w:hAnsiTheme="majorBidi" w:cstheme="majorBidi"/>
                <w:bCs/>
                <w:sz w:val="20"/>
                <w:szCs w:val="20"/>
              </w:rPr>
              <w:t>P</w:t>
            </w:r>
            <w:r w:rsidRPr="001A5200">
              <w:rPr>
                <w:rFonts w:asciiTheme="majorBidi" w:hAnsiTheme="majorBidi" w:cstheme="majorBidi"/>
                <w:bCs/>
                <w:sz w:val="20"/>
                <w:szCs w:val="20"/>
                <w:vertAlign w:val="subscript"/>
              </w:rPr>
              <w:t>A-C</w:t>
            </w:r>
            <w:r w:rsidRPr="001A5200">
              <w:rPr>
                <w:rFonts w:asciiTheme="majorBidi" w:hAnsiTheme="majorBidi" w:cstheme="majorBidi"/>
                <w:b/>
                <w:sz w:val="20"/>
                <w:szCs w:val="20"/>
              </w:rPr>
              <w:t>&lt;0.001</w:t>
            </w:r>
          </w:p>
          <w:p w14:paraId="73CD9B1C" w14:textId="77777777" w:rsidR="00F540FC" w:rsidRPr="001A5200" w:rsidRDefault="00F540FC" w:rsidP="00505EA3">
            <w:pPr>
              <w:bidi w:val="0"/>
              <w:spacing w:after="0" w:line="240" w:lineRule="auto"/>
              <w:jc w:val="both"/>
              <w:rPr>
                <w:rFonts w:asciiTheme="majorBidi" w:hAnsiTheme="majorBidi" w:cstheme="majorBidi"/>
                <w:b/>
                <w:sz w:val="20"/>
                <w:szCs w:val="20"/>
              </w:rPr>
            </w:pPr>
            <w:r w:rsidRPr="001A5200">
              <w:rPr>
                <w:rFonts w:asciiTheme="majorBidi" w:hAnsiTheme="majorBidi" w:cstheme="majorBidi"/>
                <w:bCs/>
                <w:sz w:val="20"/>
                <w:szCs w:val="20"/>
              </w:rPr>
              <w:t>P</w:t>
            </w:r>
            <w:r w:rsidRPr="001A5200">
              <w:rPr>
                <w:rFonts w:asciiTheme="majorBidi" w:hAnsiTheme="majorBidi" w:cstheme="majorBidi"/>
                <w:bCs/>
                <w:sz w:val="20"/>
                <w:szCs w:val="20"/>
                <w:vertAlign w:val="subscript"/>
              </w:rPr>
              <w:t>B-C</w:t>
            </w:r>
            <w:r w:rsidRPr="001A5200">
              <w:rPr>
                <w:rFonts w:asciiTheme="majorBidi" w:hAnsiTheme="majorBidi" w:cstheme="majorBidi"/>
                <w:b/>
                <w:sz w:val="20"/>
                <w:szCs w:val="20"/>
              </w:rPr>
              <w:t>=</w:t>
            </w:r>
            <w:r w:rsidRPr="001A5200">
              <w:rPr>
                <w:rFonts w:asciiTheme="majorBidi" w:hAnsiTheme="majorBidi" w:cstheme="majorBidi"/>
                <w:bCs/>
                <w:sz w:val="20"/>
                <w:szCs w:val="20"/>
              </w:rPr>
              <w:t>0.138</w:t>
            </w:r>
          </w:p>
        </w:tc>
      </w:tr>
      <w:tr w:rsidR="00505EA3" w:rsidRPr="001A5200" w14:paraId="7794F66F" w14:textId="77777777" w:rsidTr="0071269E">
        <w:trPr>
          <w:trHeight w:val="65"/>
          <w:jc w:val="center"/>
        </w:trPr>
        <w:tc>
          <w:tcPr>
            <w:tcW w:w="422" w:type="pct"/>
            <w:vMerge/>
            <w:shd w:val="clear" w:color="auto" w:fill="auto"/>
            <w:vAlign w:val="center"/>
          </w:tcPr>
          <w:p w14:paraId="57FDB024" w14:textId="77777777" w:rsidR="00F540FC" w:rsidRPr="001A5200" w:rsidRDefault="00F540FC" w:rsidP="00505EA3">
            <w:pPr>
              <w:bidi w:val="0"/>
              <w:spacing w:after="0" w:line="240" w:lineRule="auto"/>
              <w:jc w:val="both"/>
              <w:rPr>
                <w:rFonts w:asciiTheme="majorBidi" w:hAnsiTheme="majorBidi" w:cstheme="majorBidi"/>
                <w:b/>
                <w:bCs/>
                <w:sz w:val="20"/>
                <w:szCs w:val="20"/>
              </w:rPr>
            </w:pPr>
          </w:p>
        </w:tc>
        <w:tc>
          <w:tcPr>
            <w:tcW w:w="746" w:type="pct"/>
            <w:shd w:val="clear" w:color="auto" w:fill="auto"/>
            <w:vAlign w:val="center"/>
          </w:tcPr>
          <w:p w14:paraId="3A5B42EC" w14:textId="77777777" w:rsidR="00F540FC" w:rsidRPr="001A5200" w:rsidRDefault="00F540FC" w:rsidP="00505EA3">
            <w:pPr>
              <w:bidi w:val="0"/>
              <w:spacing w:after="0" w:line="240" w:lineRule="auto"/>
              <w:jc w:val="both"/>
              <w:rPr>
                <w:rFonts w:asciiTheme="majorBidi" w:hAnsiTheme="majorBidi" w:cstheme="majorBidi"/>
                <w:b/>
                <w:sz w:val="20"/>
                <w:szCs w:val="20"/>
              </w:rPr>
            </w:pPr>
            <w:r w:rsidRPr="001A5200">
              <w:rPr>
                <w:rFonts w:asciiTheme="majorBidi" w:hAnsiTheme="majorBidi" w:cstheme="majorBidi"/>
                <w:b/>
                <w:sz w:val="20"/>
                <w:szCs w:val="20"/>
              </w:rPr>
              <w:t>Median (IQR)</w:t>
            </w:r>
          </w:p>
        </w:tc>
        <w:tc>
          <w:tcPr>
            <w:tcW w:w="1019" w:type="pct"/>
            <w:shd w:val="clear" w:color="auto" w:fill="auto"/>
            <w:vAlign w:val="center"/>
          </w:tcPr>
          <w:p w14:paraId="5A233C83" w14:textId="77777777" w:rsidR="00F540FC" w:rsidRPr="001A5200" w:rsidRDefault="00F540FC" w:rsidP="00505EA3">
            <w:pPr>
              <w:bidi w:val="0"/>
              <w:spacing w:after="0" w:line="240" w:lineRule="auto"/>
              <w:jc w:val="both"/>
              <w:rPr>
                <w:rFonts w:asciiTheme="majorBidi" w:hAnsiTheme="majorBidi" w:cstheme="majorBidi"/>
                <w:bCs/>
                <w:sz w:val="20"/>
                <w:szCs w:val="20"/>
              </w:rPr>
            </w:pPr>
            <w:r w:rsidRPr="001A5200">
              <w:rPr>
                <w:rFonts w:asciiTheme="majorBidi" w:hAnsiTheme="majorBidi" w:cstheme="majorBidi"/>
                <w:bCs/>
                <w:sz w:val="20"/>
                <w:szCs w:val="20"/>
              </w:rPr>
              <w:t>0.07 (0.04-1.15)</w:t>
            </w:r>
          </w:p>
        </w:tc>
        <w:tc>
          <w:tcPr>
            <w:tcW w:w="882" w:type="pct"/>
            <w:shd w:val="clear" w:color="auto" w:fill="auto"/>
            <w:vAlign w:val="center"/>
          </w:tcPr>
          <w:p w14:paraId="14D55332" w14:textId="77777777" w:rsidR="00F540FC" w:rsidRPr="001A5200" w:rsidRDefault="00F540FC" w:rsidP="00505EA3">
            <w:pPr>
              <w:bidi w:val="0"/>
              <w:spacing w:after="0" w:line="240" w:lineRule="auto"/>
              <w:jc w:val="both"/>
              <w:rPr>
                <w:rFonts w:asciiTheme="majorBidi" w:hAnsiTheme="majorBidi" w:cstheme="majorBidi"/>
                <w:bCs/>
                <w:sz w:val="20"/>
                <w:szCs w:val="20"/>
              </w:rPr>
            </w:pPr>
            <w:r w:rsidRPr="001A5200">
              <w:rPr>
                <w:rFonts w:asciiTheme="majorBidi" w:hAnsiTheme="majorBidi" w:cstheme="majorBidi"/>
                <w:bCs/>
                <w:sz w:val="20"/>
                <w:szCs w:val="20"/>
              </w:rPr>
              <w:t>0.0 (0.0-1.01)</w:t>
            </w:r>
          </w:p>
        </w:tc>
        <w:tc>
          <w:tcPr>
            <w:tcW w:w="813" w:type="pct"/>
            <w:vMerge/>
            <w:shd w:val="clear" w:color="auto" w:fill="auto"/>
            <w:vAlign w:val="center"/>
          </w:tcPr>
          <w:p w14:paraId="56E56454" w14:textId="77777777" w:rsidR="00F540FC" w:rsidRPr="001A5200" w:rsidRDefault="00F540FC" w:rsidP="00505EA3">
            <w:pPr>
              <w:bidi w:val="0"/>
              <w:spacing w:after="0" w:line="240" w:lineRule="auto"/>
              <w:jc w:val="both"/>
              <w:rPr>
                <w:rFonts w:asciiTheme="majorBidi" w:hAnsiTheme="majorBidi" w:cstheme="majorBidi"/>
                <w:bCs/>
                <w:sz w:val="20"/>
                <w:szCs w:val="20"/>
              </w:rPr>
            </w:pPr>
          </w:p>
        </w:tc>
        <w:tc>
          <w:tcPr>
            <w:tcW w:w="409" w:type="pct"/>
            <w:vMerge/>
            <w:shd w:val="clear" w:color="auto" w:fill="auto"/>
            <w:vAlign w:val="center"/>
          </w:tcPr>
          <w:p w14:paraId="3946C913" w14:textId="77777777" w:rsidR="00F540FC" w:rsidRPr="001A5200" w:rsidRDefault="00F540FC" w:rsidP="00505EA3">
            <w:pPr>
              <w:bidi w:val="0"/>
              <w:spacing w:after="0" w:line="240" w:lineRule="auto"/>
              <w:jc w:val="both"/>
              <w:rPr>
                <w:rFonts w:asciiTheme="majorBidi" w:hAnsiTheme="majorBidi" w:cstheme="majorBidi"/>
                <w:sz w:val="20"/>
                <w:szCs w:val="20"/>
              </w:rPr>
            </w:pPr>
          </w:p>
        </w:tc>
        <w:tc>
          <w:tcPr>
            <w:tcW w:w="709" w:type="pct"/>
            <w:vMerge/>
            <w:shd w:val="clear" w:color="auto" w:fill="auto"/>
            <w:vAlign w:val="center"/>
          </w:tcPr>
          <w:p w14:paraId="6B9CC095" w14:textId="77777777" w:rsidR="00F540FC" w:rsidRPr="001A5200" w:rsidRDefault="00F540FC" w:rsidP="00505EA3">
            <w:pPr>
              <w:bidi w:val="0"/>
              <w:spacing w:after="0" w:line="240" w:lineRule="auto"/>
              <w:jc w:val="both"/>
              <w:rPr>
                <w:rFonts w:asciiTheme="majorBidi" w:hAnsiTheme="majorBidi" w:cstheme="majorBidi"/>
                <w:sz w:val="20"/>
                <w:szCs w:val="20"/>
              </w:rPr>
            </w:pPr>
          </w:p>
        </w:tc>
      </w:tr>
      <w:tr w:rsidR="00505EA3" w:rsidRPr="001A5200" w14:paraId="4E3E5513" w14:textId="77777777" w:rsidTr="0071269E">
        <w:trPr>
          <w:trHeight w:val="65"/>
          <w:jc w:val="center"/>
        </w:trPr>
        <w:tc>
          <w:tcPr>
            <w:tcW w:w="422" w:type="pct"/>
            <w:vMerge/>
            <w:shd w:val="clear" w:color="auto" w:fill="auto"/>
            <w:vAlign w:val="center"/>
            <w:hideMark/>
          </w:tcPr>
          <w:p w14:paraId="28BEE627" w14:textId="77777777" w:rsidR="00F540FC" w:rsidRPr="001A5200" w:rsidRDefault="00F540FC" w:rsidP="00505EA3">
            <w:pPr>
              <w:bidi w:val="0"/>
              <w:spacing w:after="0" w:line="240" w:lineRule="auto"/>
              <w:jc w:val="both"/>
              <w:rPr>
                <w:rFonts w:asciiTheme="majorBidi" w:hAnsiTheme="majorBidi" w:cstheme="majorBidi"/>
                <w:b/>
                <w:bCs/>
                <w:sz w:val="20"/>
                <w:szCs w:val="20"/>
              </w:rPr>
            </w:pPr>
          </w:p>
        </w:tc>
        <w:tc>
          <w:tcPr>
            <w:tcW w:w="746" w:type="pct"/>
            <w:shd w:val="clear" w:color="auto" w:fill="auto"/>
            <w:vAlign w:val="center"/>
            <w:hideMark/>
          </w:tcPr>
          <w:p w14:paraId="3E903A50" w14:textId="77777777" w:rsidR="00F540FC" w:rsidRPr="001A5200" w:rsidRDefault="00F540FC"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Range</w:t>
            </w:r>
          </w:p>
        </w:tc>
        <w:tc>
          <w:tcPr>
            <w:tcW w:w="1019" w:type="pct"/>
            <w:shd w:val="clear" w:color="auto" w:fill="auto"/>
            <w:vAlign w:val="center"/>
          </w:tcPr>
          <w:p w14:paraId="3E19E83A" w14:textId="77777777" w:rsidR="00F540FC" w:rsidRPr="001A5200" w:rsidRDefault="00F540FC" w:rsidP="00505EA3">
            <w:pPr>
              <w:bidi w:val="0"/>
              <w:spacing w:after="0" w:line="240" w:lineRule="auto"/>
              <w:jc w:val="both"/>
              <w:rPr>
                <w:rFonts w:asciiTheme="majorBidi" w:hAnsiTheme="majorBidi" w:cstheme="majorBidi"/>
                <w:bCs/>
                <w:sz w:val="20"/>
                <w:szCs w:val="20"/>
              </w:rPr>
            </w:pPr>
            <w:r w:rsidRPr="001A5200">
              <w:rPr>
                <w:rFonts w:asciiTheme="majorBidi" w:hAnsiTheme="majorBidi" w:cstheme="majorBidi"/>
                <w:bCs/>
                <w:sz w:val="20"/>
                <w:szCs w:val="20"/>
              </w:rPr>
              <w:t>0.01 – 2.20</w:t>
            </w:r>
          </w:p>
        </w:tc>
        <w:tc>
          <w:tcPr>
            <w:tcW w:w="882" w:type="pct"/>
            <w:shd w:val="clear" w:color="auto" w:fill="auto"/>
            <w:vAlign w:val="center"/>
          </w:tcPr>
          <w:p w14:paraId="02EED8C2" w14:textId="77777777" w:rsidR="00F540FC" w:rsidRPr="001A5200" w:rsidRDefault="00F540FC" w:rsidP="00505EA3">
            <w:pPr>
              <w:bidi w:val="0"/>
              <w:spacing w:after="0" w:line="240" w:lineRule="auto"/>
              <w:jc w:val="both"/>
              <w:rPr>
                <w:rFonts w:asciiTheme="majorBidi" w:hAnsiTheme="majorBidi" w:cstheme="majorBidi"/>
                <w:bCs/>
                <w:sz w:val="20"/>
                <w:szCs w:val="20"/>
              </w:rPr>
            </w:pPr>
            <w:r w:rsidRPr="001A5200">
              <w:rPr>
                <w:rFonts w:asciiTheme="majorBidi" w:hAnsiTheme="majorBidi" w:cstheme="majorBidi"/>
                <w:bCs/>
                <w:sz w:val="20"/>
                <w:szCs w:val="20"/>
              </w:rPr>
              <w:t>0.0 – 0.07</w:t>
            </w:r>
          </w:p>
        </w:tc>
        <w:tc>
          <w:tcPr>
            <w:tcW w:w="813" w:type="pct"/>
            <w:vMerge/>
            <w:shd w:val="clear" w:color="auto" w:fill="auto"/>
            <w:vAlign w:val="center"/>
          </w:tcPr>
          <w:p w14:paraId="1FFE3C3B" w14:textId="77777777" w:rsidR="00F540FC" w:rsidRPr="001A5200" w:rsidRDefault="00F540FC" w:rsidP="00505EA3">
            <w:pPr>
              <w:bidi w:val="0"/>
              <w:spacing w:after="0" w:line="240" w:lineRule="auto"/>
              <w:jc w:val="both"/>
              <w:rPr>
                <w:rFonts w:asciiTheme="majorBidi" w:hAnsiTheme="majorBidi" w:cstheme="majorBidi"/>
                <w:bCs/>
                <w:sz w:val="20"/>
                <w:szCs w:val="20"/>
              </w:rPr>
            </w:pPr>
          </w:p>
        </w:tc>
        <w:tc>
          <w:tcPr>
            <w:tcW w:w="409" w:type="pct"/>
            <w:vMerge/>
            <w:shd w:val="clear" w:color="auto" w:fill="auto"/>
            <w:vAlign w:val="center"/>
          </w:tcPr>
          <w:p w14:paraId="77596E49" w14:textId="77777777" w:rsidR="00F540FC" w:rsidRPr="001A5200" w:rsidRDefault="00F540FC" w:rsidP="00505EA3">
            <w:pPr>
              <w:bidi w:val="0"/>
              <w:spacing w:after="0" w:line="240" w:lineRule="auto"/>
              <w:jc w:val="both"/>
              <w:rPr>
                <w:rFonts w:asciiTheme="majorBidi" w:hAnsiTheme="majorBidi" w:cstheme="majorBidi"/>
                <w:sz w:val="20"/>
                <w:szCs w:val="20"/>
              </w:rPr>
            </w:pPr>
          </w:p>
        </w:tc>
        <w:tc>
          <w:tcPr>
            <w:tcW w:w="709" w:type="pct"/>
            <w:vMerge/>
            <w:shd w:val="clear" w:color="auto" w:fill="auto"/>
            <w:vAlign w:val="center"/>
          </w:tcPr>
          <w:p w14:paraId="3CE8E8F8" w14:textId="77777777" w:rsidR="00F540FC" w:rsidRPr="001A5200" w:rsidRDefault="00F540FC" w:rsidP="00505EA3">
            <w:pPr>
              <w:bidi w:val="0"/>
              <w:spacing w:after="0" w:line="240" w:lineRule="auto"/>
              <w:jc w:val="both"/>
              <w:rPr>
                <w:rFonts w:asciiTheme="majorBidi" w:hAnsiTheme="majorBidi" w:cstheme="majorBidi"/>
                <w:sz w:val="20"/>
                <w:szCs w:val="20"/>
              </w:rPr>
            </w:pPr>
          </w:p>
        </w:tc>
      </w:tr>
      <w:tr w:rsidR="00505EA3" w:rsidRPr="001A5200" w14:paraId="21A465CF" w14:textId="77777777" w:rsidTr="0071269E">
        <w:trPr>
          <w:trHeight w:val="87"/>
          <w:jc w:val="center"/>
        </w:trPr>
        <w:tc>
          <w:tcPr>
            <w:tcW w:w="1168" w:type="pct"/>
            <w:gridSpan w:val="2"/>
            <w:shd w:val="clear" w:color="auto" w:fill="auto"/>
            <w:vAlign w:val="center"/>
          </w:tcPr>
          <w:p w14:paraId="60F9E4C3" w14:textId="77777777" w:rsidR="00F540FC" w:rsidRPr="001A5200" w:rsidRDefault="00F540FC"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Test value *</w:t>
            </w:r>
          </w:p>
        </w:tc>
        <w:tc>
          <w:tcPr>
            <w:tcW w:w="1019" w:type="pct"/>
            <w:shd w:val="clear" w:color="auto" w:fill="auto"/>
            <w:vAlign w:val="center"/>
          </w:tcPr>
          <w:p w14:paraId="6DC9F164" w14:textId="77777777" w:rsidR="00F540FC" w:rsidRPr="001A5200" w:rsidRDefault="00F540FC" w:rsidP="00505EA3">
            <w:pPr>
              <w:bidi w:val="0"/>
              <w:spacing w:after="0" w:line="240" w:lineRule="auto"/>
              <w:jc w:val="both"/>
              <w:rPr>
                <w:rFonts w:asciiTheme="majorBidi" w:hAnsiTheme="majorBidi" w:cstheme="majorBidi"/>
                <w:bCs/>
                <w:sz w:val="20"/>
                <w:szCs w:val="20"/>
              </w:rPr>
            </w:pPr>
            <w:r w:rsidRPr="001A5200">
              <w:rPr>
                <w:rFonts w:asciiTheme="majorBidi" w:hAnsiTheme="majorBidi" w:cstheme="majorBidi"/>
                <w:bCs/>
                <w:sz w:val="20"/>
                <w:szCs w:val="20"/>
              </w:rPr>
              <w:t>6.512</w:t>
            </w:r>
          </w:p>
        </w:tc>
        <w:tc>
          <w:tcPr>
            <w:tcW w:w="882" w:type="pct"/>
            <w:shd w:val="clear" w:color="auto" w:fill="auto"/>
            <w:vAlign w:val="center"/>
          </w:tcPr>
          <w:p w14:paraId="773E8063" w14:textId="77777777" w:rsidR="00F540FC" w:rsidRPr="001A5200" w:rsidRDefault="00F540FC" w:rsidP="00505EA3">
            <w:pPr>
              <w:bidi w:val="0"/>
              <w:spacing w:after="0" w:line="240" w:lineRule="auto"/>
              <w:jc w:val="both"/>
              <w:rPr>
                <w:rFonts w:asciiTheme="majorBidi" w:hAnsiTheme="majorBidi" w:cstheme="majorBidi"/>
                <w:bCs/>
                <w:sz w:val="20"/>
                <w:szCs w:val="20"/>
              </w:rPr>
            </w:pPr>
            <w:r w:rsidRPr="001A5200">
              <w:rPr>
                <w:rFonts w:asciiTheme="majorBidi" w:hAnsiTheme="majorBidi" w:cstheme="majorBidi"/>
                <w:bCs/>
                <w:sz w:val="20"/>
                <w:szCs w:val="20"/>
              </w:rPr>
              <w:t>5.61</w:t>
            </w:r>
          </w:p>
        </w:tc>
        <w:tc>
          <w:tcPr>
            <w:tcW w:w="813" w:type="pct"/>
            <w:shd w:val="clear" w:color="auto" w:fill="auto"/>
            <w:vAlign w:val="center"/>
          </w:tcPr>
          <w:p w14:paraId="33D047EF" w14:textId="77777777" w:rsidR="00F540FC" w:rsidRPr="001A5200" w:rsidRDefault="00F540FC" w:rsidP="00505EA3">
            <w:pPr>
              <w:bidi w:val="0"/>
              <w:spacing w:after="0" w:line="240" w:lineRule="auto"/>
              <w:jc w:val="both"/>
              <w:rPr>
                <w:rFonts w:asciiTheme="majorBidi" w:hAnsiTheme="majorBidi" w:cstheme="majorBidi"/>
                <w:bCs/>
                <w:sz w:val="20"/>
                <w:szCs w:val="20"/>
              </w:rPr>
            </w:pPr>
          </w:p>
        </w:tc>
        <w:tc>
          <w:tcPr>
            <w:tcW w:w="409" w:type="pct"/>
            <w:shd w:val="clear" w:color="auto" w:fill="auto"/>
            <w:vAlign w:val="center"/>
          </w:tcPr>
          <w:p w14:paraId="586459F0" w14:textId="77777777" w:rsidR="00F540FC" w:rsidRPr="001A5200" w:rsidRDefault="00F540FC" w:rsidP="00505EA3">
            <w:pPr>
              <w:bidi w:val="0"/>
              <w:spacing w:after="0" w:line="240" w:lineRule="auto"/>
              <w:jc w:val="both"/>
              <w:rPr>
                <w:rFonts w:asciiTheme="majorBidi" w:hAnsiTheme="majorBidi" w:cstheme="majorBidi"/>
                <w:sz w:val="20"/>
                <w:szCs w:val="20"/>
              </w:rPr>
            </w:pPr>
          </w:p>
        </w:tc>
        <w:tc>
          <w:tcPr>
            <w:tcW w:w="709" w:type="pct"/>
            <w:shd w:val="clear" w:color="auto" w:fill="auto"/>
            <w:vAlign w:val="center"/>
          </w:tcPr>
          <w:p w14:paraId="1CDB3C48" w14:textId="77777777" w:rsidR="00F540FC" w:rsidRPr="001A5200" w:rsidRDefault="00F540FC" w:rsidP="00505EA3">
            <w:pPr>
              <w:bidi w:val="0"/>
              <w:spacing w:after="0" w:line="240" w:lineRule="auto"/>
              <w:jc w:val="both"/>
              <w:rPr>
                <w:rFonts w:asciiTheme="majorBidi" w:hAnsiTheme="majorBidi" w:cstheme="majorBidi"/>
                <w:sz w:val="20"/>
                <w:szCs w:val="20"/>
              </w:rPr>
            </w:pPr>
          </w:p>
        </w:tc>
      </w:tr>
      <w:tr w:rsidR="00505EA3" w:rsidRPr="001A5200" w14:paraId="3F6F9AAC" w14:textId="77777777" w:rsidTr="0071269E">
        <w:trPr>
          <w:trHeight w:val="87"/>
          <w:jc w:val="center"/>
        </w:trPr>
        <w:tc>
          <w:tcPr>
            <w:tcW w:w="1168" w:type="pct"/>
            <w:gridSpan w:val="2"/>
            <w:shd w:val="clear" w:color="auto" w:fill="auto"/>
            <w:vAlign w:val="center"/>
          </w:tcPr>
          <w:p w14:paraId="3AE26CE6" w14:textId="77777777" w:rsidR="00F540FC" w:rsidRPr="001A5200" w:rsidRDefault="00F540FC"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P-value</w:t>
            </w:r>
          </w:p>
        </w:tc>
        <w:tc>
          <w:tcPr>
            <w:tcW w:w="1019" w:type="pct"/>
            <w:shd w:val="clear" w:color="auto" w:fill="auto"/>
            <w:vAlign w:val="center"/>
          </w:tcPr>
          <w:p w14:paraId="1B787DF6" w14:textId="77777777" w:rsidR="00F540FC" w:rsidRPr="001A5200" w:rsidRDefault="00F540FC" w:rsidP="00505EA3">
            <w:pPr>
              <w:bidi w:val="0"/>
              <w:spacing w:after="0" w:line="240" w:lineRule="auto"/>
              <w:jc w:val="both"/>
              <w:rPr>
                <w:rFonts w:asciiTheme="majorBidi" w:hAnsiTheme="majorBidi" w:cstheme="majorBidi"/>
                <w:b/>
                <w:sz w:val="20"/>
                <w:szCs w:val="20"/>
              </w:rPr>
            </w:pPr>
            <w:r w:rsidRPr="001A5200">
              <w:rPr>
                <w:rFonts w:asciiTheme="majorBidi" w:hAnsiTheme="majorBidi" w:cstheme="majorBidi"/>
                <w:b/>
                <w:sz w:val="20"/>
                <w:szCs w:val="20"/>
              </w:rPr>
              <w:t>&lt;0.001</w:t>
            </w:r>
          </w:p>
        </w:tc>
        <w:tc>
          <w:tcPr>
            <w:tcW w:w="882" w:type="pct"/>
            <w:shd w:val="clear" w:color="auto" w:fill="auto"/>
            <w:vAlign w:val="center"/>
          </w:tcPr>
          <w:p w14:paraId="78850800" w14:textId="77777777" w:rsidR="00F540FC" w:rsidRPr="001A5200" w:rsidRDefault="00F540FC" w:rsidP="00505EA3">
            <w:pPr>
              <w:bidi w:val="0"/>
              <w:spacing w:after="0" w:line="240" w:lineRule="auto"/>
              <w:jc w:val="both"/>
              <w:rPr>
                <w:rFonts w:asciiTheme="majorBidi" w:hAnsiTheme="majorBidi" w:cstheme="majorBidi"/>
                <w:b/>
                <w:sz w:val="20"/>
                <w:szCs w:val="20"/>
              </w:rPr>
            </w:pPr>
            <w:r w:rsidRPr="001A5200">
              <w:rPr>
                <w:rFonts w:asciiTheme="majorBidi" w:hAnsiTheme="majorBidi" w:cstheme="majorBidi"/>
                <w:b/>
                <w:sz w:val="20"/>
                <w:szCs w:val="20"/>
              </w:rPr>
              <w:t>&lt;0.001</w:t>
            </w:r>
          </w:p>
        </w:tc>
        <w:tc>
          <w:tcPr>
            <w:tcW w:w="813" w:type="pct"/>
            <w:shd w:val="clear" w:color="auto" w:fill="auto"/>
            <w:vAlign w:val="center"/>
          </w:tcPr>
          <w:p w14:paraId="2290ECB3" w14:textId="77777777" w:rsidR="00F540FC" w:rsidRPr="001A5200" w:rsidRDefault="00F540FC" w:rsidP="00505EA3">
            <w:pPr>
              <w:bidi w:val="0"/>
              <w:spacing w:after="0" w:line="240" w:lineRule="auto"/>
              <w:jc w:val="both"/>
              <w:rPr>
                <w:rFonts w:asciiTheme="majorBidi" w:hAnsiTheme="majorBidi" w:cstheme="majorBidi"/>
                <w:bCs/>
                <w:sz w:val="20"/>
                <w:szCs w:val="20"/>
              </w:rPr>
            </w:pPr>
          </w:p>
        </w:tc>
        <w:tc>
          <w:tcPr>
            <w:tcW w:w="409" w:type="pct"/>
            <w:shd w:val="clear" w:color="auto" w:fill="auto"/>
            <w:vAlign w:val="center"/>
          </w:tcPr>
          <w:p w14:paraId="2CD55CE1" w14:textId="77777777" w:rsidR="00F540FC" w:rsidRPr="001A5200" w:rsidRDefault="00F540FC" w:rsidP="00505EA3">
            <w:pPr>
              <w:bidi w:val="0"/>
              <w:spacing w:after="0" w:line="240" w:lineRule="auto"/>
              <w:jc w:val="both"/>
              <w:rPr>
                <w:rFonts w:asciiTheme="majorBidi" w:hAnsiTheme="majorBidi" w:cstheme="majorBidi"/>
                <w:sz w:val="20"/>
                <w:szCs w:val="20"/>
              </w:rPr>
            </w:pPr>
          </w:p>
        </w:tc>
        <w:tc>
          <w:tcPr>
            <w:tcW w:w="709" w:type="pct"/>
            <w:shd w:val="clear" w:color="auto" w:fill="auto"/>
            <w:vAlign w:val="center"/>
          </w:tcPr>
          <w:p w14:paraId="1058F304" w14:textId="77777777" w:rsidR="00F540FC" w:rsidRPr="001A5200" w:rsidRDefault="00F540FC" w:rsidP="00505EA3">
            <w:pPr>
              <w:bidi w:val="0"/>
              <w:spacing w:after="0" w:line="240" w:lineRule="auto"/>
              <w:jc w:val="both"/>
              <w:rPr>
                <w:rFonts w:asciiTheme="majorBidi" w:hAnsiTheme="majorBidi" w:cstheme="majorBidi"/>
                <w:sz w:val="20"/>
                <w:szCs w:val="20"/>
              </w:rPr>
            </w:pPr>
          </w:p>
        </w:tc>
      </w:tr>
    </w:tbl>
    <w:p w14:paraId="64F1D94B" w14:textId="77777777" w:rsidR="00EB11B1" w:rsidRPr="001A5200" w:rsidRDefault="00EB11B1" w:rsidP="00505EA3">
      <w:pPr>
        <w:bidi w:val="0"/>
        <w:spacing w:after="0" w:line="240" w:lineRule="auto"/>
        <w:jc w:val="both"/>
        <w:rPr>
          <w:rFonts w:asciiTheme="majorBidi" w:hAnsiTheme="majorBidi" w:cstheme="majorBidi"/>
          <w:sz w:val="20"/>
          <w:szCs w:val="20"/>
        </w:rPr>
        <w:sectPr w:rsidR="00EB11B1" w:rsidRPr="001A5200" w:rsidSect="00B83D64">
          <w:type w:val="continuous"/>
          <w:pgSz w:w="11909" w:h="16834" w:code="9"/>
          <w:pgMar w:top="1440" w:right="929" w:bottom="1440" w:left="1080" w:header="720" w:footer="720" w:gutter="0"/>
          <w:cols w:space="720"/>
          <w:docGrid w:linePitch="360"/>
        </w:sectPr>
      </w:pPr>
    </w:p>
    <w:p w14:paraId="6C9B3895" w14:textId="560D2414" w:rsidR="00EB640B" w:rsidRPr="001A5200" w:rsidRDefault="00EB795A" w:rsidP="00505EA3">
      <w:pPr>
        <w:bidi w:val="0"/>
        <w:spacing w:after="0" w:line="240" w:lineRule="auto"/>
        <w:jc w:val="both"/>
        <w:rPr>
          <w:rFonts w:asciiTheme="majorBidi" w:hAnsiTheme="majorBidi" w:cstheme="majorBidi"/>
          <w:sz w:val="20"/>
          <w:szCs w:val="20"/>
        </w:rPr>
      </w:pPr>
      <w:r w:rsidRPr="001A5200">
        <w:rPr>
          <w:rFonts w:asciiTheme="majorBidi" w:hAnsiTheme="majorBidi" w:cstheme="majorBidi"/>
          <w:sz w:val="20"/>
          <w:szCs w:val="20"/>
        </w:rPr>
        <w:t>The results are considered significant when the p-value is less than 0.05 and highly significant when the p-value is less than 0.01. The abbreviations F and KW stand for Kruskal-Wallis and Wilcoxon signed rank tests, respectively.</w:t>
      </w:r>
    </w:p>
    <w:p w14:paraId="09DF3B6D" w14:textId="6B1BC8E6" w:rsidR="00F540FC" w:rsidRPr="001A5200" w:rsidRDefault="00EB795A" w:rsidP="00505EA3">
      <w:pPr>
        <w:bidi w:val="0"/>
        <w:spacing w:after="0" w:line="240" w:lineRule="auto"/>
        <w:jc w:val="both"/>
        <w:rPr>
          <w:rFonts w:asciiTheme="majorBidi" w:hAnsiTheme="majorBidi" w:cstheme="majorBidi"/>
          <w:sz w:val="20"/>
          <w:szCs w:val="20"/>
        </w:rPr>
      </w:pPr>
      <w:r w:rsidRPr="001A5200">
        <w:rPr>
          <w:rFonts w:asciiTheme="majorBidi" w:hAnsiTheme="majorBidi" w:cstheme="majorBidi"/>
          <w:sz w:val="20"/>
          <w:szCs w:val="20"/>
        </w:rPr>
        <w:t>A-B=UA-MI, A-C=MI-Control, and B-C=UA-Control. Time of arrival: initial, and time following arrival: twenty-four hours.</w:t>
      </w:r>
    </w:p>
    <w:p w14:paraId="41AB1C1B" w14:textId="77777777" w:rsidR="00EB11B1" w:rsidRPr="001A5200" w:rsidRDefault="00EB11B1" w:rsidP="00505EA3">
      <w:pPr>
        <w:bidi w:val="0"/>
        <w:spacing w:after="0" w:line="240" w:lineRule="auto"/>
        <w:jc w:val="both"/>
        <w:rPr>
          <w:rFonts w:asciiTheme="majorBidi" w:hAnsiTheme="majorBidi" w:cstheme="majorBidi"/>
          <w:b/>
          <w:bCs/>
          <w:sz w:val="20"/>
          <w:szCs w:val="20"/>
        </w:rPr>
        <w:sectPr w:rsidR="00EB11B1" w:rsidRPr="001A5200" w:rsidSect="00B83D64">
          <w:type w:val="continuous"/>
          <w:pgSz w:w="11909" w:h="16834" w:code="9"/>
          <w:pgMar w:top="1440" w:right="929" w:bottom="1440" w:left="1080" w:header="720" w:footer="720" w:gutter="0"/>
          <w:cols w:space="720"/>
          <w:docGrid w:linePitch="360"/>
        </w:sectPr>
      </w:pPr>
    </w:p>
    <w:p w14:paraId="15E03AC2" w14:textId="5FE30C7F" w:rsidR="00EB640B" w:rsidRPr="00D65590" w:rsidRDefault="00D65590" w:rsidP="00505EA3">
      <w:pPr>
        <w:bidi w:val="0"/>
        <w:spacing w:before="120" w:after="120" w:line="240" w:lineRule="auto"/>
        <w:jc w:val="both"/>
        <w:rPr>
          <w:rFonts w:asciiTheme="majorBidi" w:hAnsiTheme="majorBidi" w:cstheme="majorBidi"/>
          <w:sz w:val="20"/>
          <w:szCs w:val="20"/>
        </w:rPr>
      </w:pPr>
      <w:r w:rsidRPr="001A5200">
        <w:rPr>
          <w:rFonts w:asciiTheme="majorBidi" w:hAnsiTheme="majorBidi" w:cstheme="majorBidi"/>
          <w:b/>
          <w:bCs/>
          <w:sz w:val="20"/>
          <w:szCs w:val="20"/>
        </w:rPr>
        <w:t xml:space="preserve">Table </w:t>
      </w:r>
      <w:r>
        <w:rPr>
          <w:rFonts w:asciiTheme="majorBidi" w:hAnsiTheme="majorBidi" w:cstheme="majorBidi"/>
          <w:b/>
          <w:bCs/>
          <w:sz w:val="20"/>
          <w:szCs w:val="20"/>
        </w:rPr>
        <w:t>(</w:t>
      </w:r>
      <w:r w:rsidRPr="001A5200">
        <w:rPr>
          <w:rFonts w:asciiTheme="majorBidi" w:hAnsiTheme="majorBidi" w:cstheme="majorBidi"/>
          <w:b/>
          <w:bCs/>
          <w:sz w:val="20"/>
          <w:szCs w:val="20"/>
        </w:rPr>
        <w:t>4)</w:t>
      </w:r>
      <w:r>
        <w:rPr>
          <w:rFonts w:asciiTheme="majorBidi" w:hAnsiTheme="majorBidi" w:cstheme="majorBidi"/>
          <w:b/>
          <w:bCs/>
          <w:sz w:val="20"/>
          <w:szCs w:val="20"/>
        </w:rPr>
        <w:t xml:space="preserve"> </w:t>
      </w:r>
      <w:r w:rsidR="00EB795A" w:rsidRPr="00D65590">
        <w:rPr>
          <w:rFonts w:asciiTheme="majorBidi" w:hAnsiTheme="majorBidi" w:cstheme="majorBidi"/>
          <w:sz w:val="20"/>
          <w:szCs w:val="20"/>
        </w:rPr>
        <w:t xml:space="preserve">Mir-1 in the three groups that were </w:t>
      </w:r>
      <w:proofErr w:type="gramStart"/>
      <w:r w:rsidR="00EB795A" w:rsidRPr="00D65590">
        <w:rPr>
          <w:rFonts w:asciiTheme="majorBidi" w:hAnsiTheme="majorBidi" w:cstheme="majorBidi"/>
          <w:sz w:val="20"/>
          <w:szCs w:val="20"/>
        </w:rPr>
        <w:t>investigated</w:t>
      </w:r>
      <w:proofErr w:type="gramEnd"/>
      <w:r w:rsidR="00EB795A" w:rsidRPr="00D65590">
        <w:rPr>
          <w:rFonts w:asciiTheme="majorBidi" w:hAnsiTheme="majorBidi" w:cstheme="majorBidi"/>
          <w:sz w:val="20"/>
          <w:szCs w:val="20"/>
        </w:rPr>
        <w:t xml:space="preserve"> </w:t>
      </w:r>
    </w:p>
    <w:tbl>
      <w:tblPr>
        <w:tblW w:w="5000" w:type="pct"/>
        <w:jc w:val="center"/>
        <w:tblBorders>
          <w:top w:val="single" w:sz="4" w:space="0" w:color="auto"/>
          <w:bottom w:val="single" w:sz="4" w:space="0" w:color="auto"/>
        </w:tblBorders>
        <w:tblLook w:val="04A0" w:firstRow="1" w:lastRow="0" w:firstColumn="1" w:lastColumn="0" w:noHBand="0" w:noVBand="1"/>
      </w:tblPr>
      <w:tblGrid>
        <w:gridCol w:w="856"/>
        <w:gridCol w:w="1329"/>
        <w:gridCol w:w="1511"/>
        <w:gridCol w:w="1677"/>
        <w:gridCol w:w="2014"/>
        <w:gridCol w:w="1010"/>
        <w:gridCol w:w="1503"/>
      </w:tblGrid>
      <w:tr w:rsidR="00505EA3" w:rsidRPr="001A5200" w14:paraId="7D9A1FA8" w14:textId="77777777" w:rsidTr="0071269E">
        <w:trPr>
          <w:trHeight w:val="127"/>
          <w:jc w:val="center"/>
        </w:trPr>
        <w:tc>
          <w:tcPr>
            <w:tcW w:w="1104" w:type="pct"/>
            <w:gridSpan w:val="2"/>
            <w:tcBorders>
              <w:top w:val="single" w:sz="4" w:space="0" w:color="auto"/>
              <w:bottom w:val="single" w:sz="4" w:space="0" w:color="auto"/>
            </w:tcBorders>
            <w:shd w:val="clear" w:color="auto" w:fill="auto"/>
          </w:tcPr>
          <w:p w14:paraId="21ABCC2D" w14:textId="77777777" w:rsidR="00EB640B" w:rsidRPr="001A5200" w:rsidRDefault="00EB640B" w:rsidP="00505EA3">
            <w:pPr>
              <w:bidi w:val="0"/>
              <w:spacing w:after="0" w:line="240" w:lineRule="auto"/>
              <w:jc w:val="both"/>
              <w:rPr>
                <w:rFonts w:asciiTheme="majorBidi" w:hAnsiTheme="majorBidi" w:cstheme="majorBidi"/>
                <w:b/>
                <w:bCs/>
                <w:i/>
                <w:iCs/>
                <w:sz w:val="20"/>
                <w:szCs w:val="20"/>
              </w:rPr>
            </w:pPr>
          </w:p>
        </w:tc>
        <w:tc>
          <w:tcPr>
            <w:tcW w:w="763" w:type="pct"/>
            <w:tcBorders>
              <w:top w:val="single" w:sz="4" w:space="0" w:color="auto"/>
              <w:bottom w:val="single" w:sz="4" w:space="0" w:color="auto"/>
            </w:tcBorders>
            <w:shd w:val="clear" w:color="auto" w:fill="auto"/>
            <w:vAlign w:val="center"/>
            <w:hideMark/>
          </w:tcPr>
          <w:p w14:paraId="56C4A5E0" w14:textId="77777777" w:rsidR="00EB640B" w:rsidRPr="001A5200" w:rsidRDefault="00EB640B"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MI group</w:t>
            </w:r>
          </w:p>
          <w:p w14:paraId="511C5FCF" w14:textId="77777777" w:rsidR="00EB640B" w:rsidRPr="001A5200" w:rsidRDefault="00EB640B"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(A)</w:t>
            </w:r>
          </w:p>
        </w:tc>
        <w:tc>
          <w:tcPr>
            <w:tcW w:w="847" w:type="pct"/>
            <w:tcBorders>
              <w:top w:val="single" w:sz="4" w:space="0" w:color="auto"/>
              <w:bottom w:val="single" w:sz="4" w:space="0" w:color="auto"/>
            </w:tcBorders>
            <w:shd w:val="clear" w:color="auto" w:fill="auto"/>
            <w:vAlign w:val="center"/>
            <w:hideMark/>
          </w:tcPr>
          <w:p w14:paraId="48947572" w14:textId="77777777" w:rsidR="00EB640B" w:rsidRPr="001A5200" w:rsidRDefault="00EB640B"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UA group</w:t>
            </w:r>
          </w:p>
          <w:p w14:paraId="026A69D0" w14:textId="77777777" w:rsidR="00EB640B" w:rsidRPr="001A5200" w:rsidRDefault="00EB640B"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(B)</w:t>
            </w:r>
          </w:p>
        </w:tc>
        <w:tc>
          <w:tcPr>
            <w:tcW w:w="1017" w:type="pct"/>
            <w:tcBorders>
              <w:top w:val="single" w:sz="4" w:space="0" w:color="auto"/>
              <w:bottom w:val="single" w:sz="4" w:space="0" w:color="auto"/>
            </w:tcBorders>
            <w:shd w:val="clear" w:color="auto" w:fill="auto"/>
            <w:vAlign w:val="center"/>
            <w:hideMark/>
          </w:tcPr>
          <w:p w14:paraId="476A0A68" w14:textId="77777777" w:rsidR="00EB640B" w:rsidRPr="001A5200" w:rsidRDefault="00EB640B"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 xml:space="preserve">Control </w:t>
            </w:r>
            <w:proofErr w:type="gramStart"/>
            <w:r w:rsidRPr="001A5200">
              <w:rPr>
                <w:rFonts w:asciiTheme="majorBidi" w:hAnsiTheme="majorBidi" w:cstheme="majorBidi"/>
                <w:b/>
                <w:bCs/>
                <w:sz w:val="20"/>
                <w:szCs w:val="20"/>
              </w:rPr>
              <w:t>group</w:t>
            </w:r>
            <w:proofErr w:type="gramEnd"/>
          </w:p>
          <w:p w14:paraId="4A1E1A50" w14:textId="77777777" w:rsidR="00EB640B" w:rsidRPr="001A5200" w:rsidRDefault="00EB640B"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(C)</w:t>
            </w:r>
          </w:p>
        </w:tc>
        <w:tc>
          <w:tcPr>
            <w:tcW w:w="510" w:type="pct"/>
            <w:tcBorders>
              <w:top w:val="single" w:sz="4" w:space="0" w:color="auto"/>
              <w:bottom w:val="single" w:sz="4" w:space="0" w:color="auto"/>
            </w:tcBorders>
            <w:shd w:val="clear" w:color="auto" w:fill="auto"/>
            <w:vAlign w:val="center"/>
            <w:hideMark/>
          </w:tcPr>
          <w:p w14:paraId="7FE45A6E" w14:textId="77777777" w:rsidR="00EB640B" w:rsidRPr="001A5200" w:rsidRDefault="00EB640B"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Test value</w:t>
            </w:r>
          </w:p>
        </w:tc>
        <w:tc>
          <w:tcPr>
            <w:tcW w:w="759" w:type="pct"/>
            <w:tcBorders>
              <w:top w:val="single" w:sz="4" w:space="0" w:color="auto"/>
              <w:bottom w:val="single" w:sz="4" w:space="0" w:color="auto"/>
            </w:tcBorders>
            <w:shd w:val="clear" w:color="auto" w:fill="auto"/>
            <w:vAlign w:val="center"/>
            <w:hideMark/>
          </w:tcPr>
          <w:p w14:paraId="766E3953" w14:textId="77777777" w:rsidR="00EB640B" w:rsidRPr="001A5200" w:rsidRDefault="00EB640B"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P-value</w:t>
            </w:r>
          </w:p>
        </w:tc>
      </w:tr>
      <w:tr w:rsidR="00505EA3" w:rsidRPr="001A5200" w14:paraId="1477DEB2" w14:textId="77777777" w:rsidTr="0071269E">
        <w:trPr>
          <w:trHeight w:val="127"/>
          <w:jc w:val="center"/>
        </w:trPr>
        <w:tc>
          <w:tcPr>
            <w:tcW w:w="433" w:type="pct"/>
            <w:vMerge w:val="restart"/>
            <w:tcBorders>
              <w:top w:val="single" w:sz="4" w:space="0" w:color="auto"/>
            </w:tcBorders>
            <w:shd w:val="clear" w:color="auto" w:fill="auto"/>
            <w:vAlign w:val="center"/>
            <w:hideMark/>
          </w:tcPr>
          <w:p w14:paraId="1CBD6FA3" w14:textId="77777777" w:rsidR="00EB640B" w:rsidRPr="001A5200" w:rsidRDefault="00EB640B" w:rsidP="00505EA3">
            <w:pPr>
              <w:bidi w:val="0"/>
              <w:spacing w:after="0" w:line="240" w:lineRule="auto"/>
              <w:jc w:val="both"/>
              <w:rPr>
                <w:rFonts w:asciiTheme="majorBidi" w:hAnsiTheme="majorBidi" w:cstheme="majorBidi"/>
                <w:b/>
                <w:bCs/>
                <w:i/>
                <w:iCs/>
                <w:sz w:val="20"/>
                <w:szCs w:val="20"/>
              </w:rPr>
            </w:pPr>
            <w:r w:rsidRPr="001A5200">
              <w:rPr>
                <w:rFonts w:asciiTheme="majorBidi" w:hAnsiTheme="majorBidi" w:cstheme="majorBidi"/>
                <w:b/>
                <w:bCs/>
                <w:i/>
                <w:iCs/>
                <w:sz w:val="20"/>
                <w:szCs w:val="20"/>
              </w:rPr>
              <w:t>Mir-1</w:t>
            </w:r>
          </w:p>
          <w:p w14:paraId="2A708094" w14:textId="503EA0BA" w:rsidR="00EB640B" w:rsidRPr="001A5200" w:rsidRDefault="00EB640B" w:rsidP="00505EA3">
            <w:pPr>
              <w:bidi w:val="0"/>
              <w:spacing w:after="0" w:line="240" w:lineRule="auto"/>
              <w:jc w:val="both"/>
              <w:rPr>
                <w:rFonts w:asciiTheme="majorBidi" w:hAnsiTheme="majorBidi" w:cstheme="majorBidi"/>
                <w:b/>
                <w:bCs/>
                <w:i/>
                <w:iCs/>
                <w:sz w:val="20"/>
                <w:szCs w:val="20"/>
              </w:rPr>
            </w:pPr>
          </w:p>
        </w:tc>
        <w:tc>
          <w:tcPr>
            <w:tcW w:w="671" w:type="pct"/>
            <w:tcBorders>
              <w:top w:val="single" w:sz="4" w:space="0" w:color="auto"/>
            </w:tcBorders>
            <w:shd w:val="clear" w:color="auto" w:fill="auto"/>
            <w:vAlign w:val="center"/>
            <w:hideMark/>
          </w:tcPr>
          <w:p w14:paraId="390188BB" w14:textId="77777777" w:rsidR="00EB640B" w:rsidRPr="001A5200" w:rsidRDefault="00EB640B" w:rsidP="00505EA3">
            <w:pPr>
              <w:bidi w:val="0"/>
              <w:spacing w:after="0" w:line="240" w:lineRule="auto"/>
              <w:jc w:val="both"/>
              <w:rPr>
                <w:rFonts w:asciiTheme="majorBidi" w:hAnsiTheme="majorBidi" w:cstheme="majorBidi"/>
                <w:sz w:val="20"/>
                <w:szCs w:val="20"/>
              </w:rPr>
            </w:pPr>
            <w:r w:rsidRPr="001A5200">
              <w:rPr>
                <w:rFonts w:asciiTheme="majorBidi" w:hAnsiTheme="majorBidi" w:cstheme="majorBidi"/>
                <w:b/>
                <w:bCs/>
                <w:sz w:val="20"/>
                <w:szCs w:val="20"/>
              </w:rPr>
              <w:t>Mean± SD</w:t>
            </w:r>
          </w:p>
        </w:tc>
        <w:tc>
          <w:tcPr>
            <w:tcW w:w="763" w:type="pct"/>
            <w:tcBorders>
              <w:top w:val="single" w:sz="4" w:space="0" w:color="auto"/>
            </w:tcBorders>
            <w:shd w:val="clear" w:color="auto" w:fill="auto"/>
            <w:vAlign w:val="center"/>
            <w:hideMark/>
          </w:tcPr>
          <w:p w14:paraId="0AE7350B" w14:textId="77777777" w:rsidR="00EB640B" w:rsidRPr="001A5200" w:rsidRDefault="00EB640B" w:rsidP="00505EA3">
            <w:pPr>
              <w:bidi w:val="0"/>
              <w:spacing w:after="0" w:line="240" w:lineRule="auto"/>
              <w:jc w:val="both"/>
              <w:rPr>
                <w:rFonts w:asciiTheme="majorBidi" w:hAnsiTheme="majorBidi" w:cstheme="majorBidi"/>
                <w:sz w:val="20"/>
                <w:szCs w:val="20"/>
              </w:rPr>
            </w:pPr>
            <w:r w:rsidRPr="001A5200">
              <w:rPr>
                <w:rFonts w:asciiTheme="majorBidi" w:hAnsiTheme="majorBidi" w:cstheme="majorBidi"/>
                <w:sz w:val="20"/>
                <w:szCs w:val="20"/>
              </w:rPr>
              <w:t>2.26± 0.55</w:t>
            </w:r>
          </w:p>
        </w:tc>
        <w:tc>
          <w:tcPr>
            <w:tcW w:w="847" w:type="pct"/>
            <w:tcBorders>
              <w:top w:val="single" w:sz="4" w:space="0" w:color="auto"/>
            </w:tcBorders>
            <w:shd w:val="clear" w:color="auto" w:fill="auto"/>
            <w:vAlign w:val="center"/>
            <w:hideMark/>
          </w:tcPr>
          <w:p w14:paraId="62EAA8EE" w14:textId="77777777" w:rsidR="00EB640B" w:rsidRPr="001A5200" w:rsidRDefault="00EB640B" w:rsidP="00505EA3">
            <w:pPr>
              <w:bidi w:val="0"/>
              <w:spacing w:after="0" w:line="240" w:lineRule="auto"/>
              <w:jc w:val="both"/>
              <w:rPr>
                <w:rFonts w:asciiTheme="majorBidi" w:hAnsiTheme="majorBidi" w:cstheme="majorBidi"/>
                <w:sz w:val="20"/>
                <w:szCs w:val="20"/>
              </w:rPr>
            </w:pPr>
            <w:r w:rsidRPr="001A5200">
              <w:rPr>
                <w:rFonts w:asciiTheme="majorBidi" w:hAnsiTheme="majorBidi" w:cstheme="majorBidi"/>
                <w:sz w:val="20"/>
                <w:szCs w:val="20"/>
              </w:rPr>
              <w:t>1.60± 0.53</w:t>
            </w:r>
          </w:p>
        </w:tc>
        <w:tc>
          <w:tcPr>
            <w:tcW w:w="1017" w:type="pct"/>
            <w:tcBorders>
              <w:top w:val="single" w:sz="4" w:space="0" w:color="auto"/>
            </w:tcBorders>
            <w:shd w:val="clear" w:color="auto" w:fill="auto"/>
            <w:vAlign w:val="center"/>
            <w:hideMark/>
          </w:tcPr>
          <w:p w14:paraId="5F5FACAB" w14:textId="77777777" w:rsidR="00EB640B" w:rsidRPr="001A5200" w:rsidRDefault="00EB640B" w:rsidP="00505EA3">
            <w:pPr>
              <w:bidi w:val="0"/>
              <w:spacing w:after="0" w:line="240" w:lineRule="auto"/>
              <w:jc w:val="both"/>
              <w:rPr>
                <w:rFonts w:asciiTheme="majorBidi" w:hAnsiTheme="majorBidi" w:cstheme="majorBidi"/>
                <w:sz w:val="20"/>
                <w:szCs w:val="20"/>
              </w:rPr>
            </w:pPr>
            <w:r w:rsidRPr="001A5200">
              <w:rPr>
                <w:rFonts w:asciiTheme="majorBidi" w:hAnsiTheme="majorBidi" w:cstheme="majorBidi"/>
                <w:sz w:val="20"/>
                <w:szCs w:val="20"/>
              </w:rPr>
              <w:t>1.0± 0.0</w:t>
            </w:r>
          </w:p>
        </w:tc>
        <w:tc>
          <w:tcPr>
            <w:tcW w:w="510" w:type="pct"/>
            <w:vMerge w:val="restart"/>
            <w:tcBorders>
              <w:top w:val="single" w:sz="4" w:space="0" w:color="auto"/>
            </w:tcBorders>
            <w:shd w:val="clear" w:color="auto" w:fill="auto"/>
            <w:vAlign w:val="center"/>
            <w:hideMark/>
          </w:tcPr>
          <w:p w14:paraId="746FFFC6" w14:textId="77777777" w:rsidR="00EB640B" w:rsidRPr="001A5200" w:rsidRDefault="00EB640B" w:rsidP="00505EA3">
            <w:pPr>
              <w:bidi w:val="0"/>
              <w:spacing w:after="0" w:line="240" w:lineRule="auto"/>
              <w:jc w:val="both"/>
              <w:rPr>
                <w:rFonts w:asciiTheme="majorBidi" w:hAnsiTheme="majorBidi" w:cstheme="majorBidi"/>
                <w:sz w:val="20"/>
                <w:szCs w:val="20"/>
              </w:rPr>
            </w:pPr>
            <w:r w:rsidRPr="001A5200">
              <w:rPr>
                <w:rFonts w:asciiTheme="majorBidi" w:hAnsiTheme="majorBidi" w:cstheme="majorBidi"/>
                <w:sz w:val="20"/>
                <w:szCs w:val="20"/>
              </w:rPr>
              <w:t>F= 40.3</w:t>
            </w:r>
          </w:p>
        </w:tc>
        <w:tc>
          <w:tcPr>
            <w:tcW w:w="759" w:type="pct"/>
            <w:vMerge w:val="restart"/>
            <w:tcBorders>
              <w:top w:val="single" w:sz="4" w:space="0" w:color="auto"/>
            </w:tcBorders>
            <w:shd w:val="clear" w:color="auto" w:fill="auto"/>
            <w:vAlign w:val="center"/>
            <w:hideMark/>
          </w:tcPr>
          <w:p w14:paraId="07B43F1A" w14:textId="77777777" w:rsidR="00EB640B" w:rsidRPr="001A5200" w:rsidRDefault="00EB640B" w:rsidP="00505EA3">
            <w:pPr>
              <w:bidi w:val="0"/>
              <w:spacing w:after="0" w:line="240" w:lineRule="auto"/>
              <w:jc w:val="both"/>
              <w:rPr>
                <w:rFonts w:asciiTheme="majorBidi" w:hAnsiTheme="majorBidi" w:cstheme="majorBidi"/>
                <w:b/>
                <w:sz w:val="20"/>
                <w:szCs w:val="20"/>
              </w:rPr>
            </w:pPr>
            <w:r w:rsidRPr="001A5200">
              <w:rPr>
                <w:rFonts w:asciiTheme="majorBidi" w:hAnsiTheme="majorBidi" w:cstheme="majorBidi"/>
                <w:b/>
                <w:sz w:val="20"/>
                <w:szCs w:val="20"/>
              </w:rPr>
              <w:t>&lt;0.001</w:t>
            </w:r>
          </w:p>
          <w:p w14:paraId="28E578C7" w14:textId="77777777" w:rsidR="00EB640B" w:rsidRPr="001A5200" w:rsidRDefault="00EB640B" w:rsidP="00505EA3">
            <w:pPr>
              <w:bidi w:val="0"/>
              <w:spacing w:after="0" w:line="240" w:lineRule="auto"/>
              <w:jc w:val="both"/>
              <w:rPr>
                <w:rFonts w:asciiTheme="majorBidi" w:hAnsiTheme="majorBidi" w:cstheme="majorBidi"/>
                <w:bCs/>
                <w:sz w:val="20"/>
                <w:szCs w:val="20"/>
              </w:rPr>
            </w:pPr>
            <w:r w:rsidRPr="001A5200">
              <w:rPr>
                <w:rFonts w:asciiTheme="majorBidi" w:hAnsiTheme="majorBidi" w:cstheme="majorBidi"/>
                <w:bCs/>
                <w:sz w:val="20"/>
                <w:szCs w:val="20"/>
              </w:rPr>
              <w:t>P</w:t>
            </w:r>
            <w:r w:rsidRPr="001A5200">
              <w:rPr>
                <w:rFonts w:asciiTheme="majorBidi" w:hAnsiTheme="majorBidi" w:cstheme="majorBidi"/>
                <w:bCs/>
                <w:sz w:val="20"/>
                <w:szCs w:val="20"/>
                <w:vertAlign w:val="subscript"/>
              </w:rPr>
              <w:t>A-B</w:t>
            </w:r>
            <w:r w:rsidRPr="001A5200">
              <w:rPr>
                <w:rFonts w:asciiTheme="majorBidi" w:hAnsiTheme="majorBidi" w:cstheme="majorBidi"/>
                <w:b/>
                <w:sz w:val="20"/>
                <w:szCs w:val="20"/>
              </w:rPr>
              <w:t>&lt;0.001</w:t>
            </w:r>
          </w:p>
          <w:p w14:paraId="065723D7" w14:textId="77777777" w:rsidR="00EB640B" w:rsidRPr="001A5200" w:rsidRDefault="00EB640B" w:rsidP="00505EA3">
            <w:pPr>
              <w:bidi w:val="0"/>
              <w:spacing w:after="0" w:line="240" w:lineRule="auto"/>
              <w:jc w:val="both"/>
              <w:rPr>
                <w:rFonts w:asciiTheme="majorBidi" w:hAnsiTheme="majorBidi" w:cstheme="majorBidi"/>
                <w:bCs/>
                <w:sz w:val="20"/>
                <w:szCs w:val="20"/>
              </w:rPr>
            </w:pPr>
            <w:r w:rsidRPr="001A5200">
              <w:rPr>
                <w:rFonts w:asciiTheme="majorBidi" w:hAnsiTheme="majorBidi" w:cstheme="majorBidi"/>
                <w:bCs/>
                <w:sz w:val="20"/>
                <w:szCs w:val="20"/>
              </w:rPr>
              <w:t>P</w:t>
            </w:r>
            <w:r w:rsidRPr="001A5200">
              <w:rPr>
                <w:rFonts w:asciiTheme="majorBidi" w:hAnsiTheme="majorBidi" w:cstheme="majorBidi"/>
                <w:bCs/>
                <w:sz w:val="20"/>
                <w:szCs w:val="20"/>
                <w:vertAlign w:val="subscript"/>
              </w:rPr>
              <w:t>A-C</w:t>
            </w:r>
            <w:r w:rsidRPr="001A5200">
              <w:rPr>
                <w:rFonts w:asciiTheme="majorBidi" w:hAnsiTheme="majorBidi" w:cstheme="majorBidi"/>
                <w:b/>
                <w:sz w:val="20"/>
                <w:szCs w:val="20"/>
              </w:rPr>
              <w:t>&lt;0.001</w:t>
            </w:r>
          </w:p>
          <w:p w14:paraId="5806B5C3" w14:textId="77777777" w:rsidR="00EB640B" w:rsidRPr="001A5200" w:rsidRDefault="00EB640B" w:rsidP="00505EA3">
            <w:pPr>
              <w:bidi w:val="0"/>
              <w:spacing w:after="0" w:line="240" w:lineRule="auto"/>
              <w:jc w:val="both"/>
              <w:rPr>
                <w:rFonts w:asciiTheme="majorBidi" w:hAnsiTheme="majorBidi" w:cstheme="majorBidi"/>
                <w:sz w:val="20"/>
                <w:szCs w:val="20"/>
              </w:rPr>
            </w:pPr>
            <w:r w:rsidRPr="001A5200">
              <w:rPr>
                <w:rFonts w:asciiTheme="majorBidi" w:hAnsiTheme="majorBidi" w:cstheme="majorBidi"/>
                <w:bCs/>
                <w:sz w:val="20"/>
                <w:szCs w:val="20"/>
              </w:rPr>
              <w:t>P</w:t>
            </w:r>
            <w:r w:rsidRPr="001A5200">
              <w:rPr>
                <w:rFonts w:asciiTheme="majorBidi" w:hAnsiTheme="majorBidi" w:cstheme="majorBidi"/>
                <w:bCs/>
                <w:sz w:val="20"/>
                <w:szCs w:val="20"/>
                <w:vertAlign w:val="subscript"/>
              </w:rPr>
              <w:t>B-C</w:t>
            </w:r>
            <w:r w:rsidRPr="001A5200">
              <w:rPr>
                <w:rFonts w:asciiTheme="majorBidi" w:hAnsiTheme="majorBidi" w:cstheme="majorBidi"/>
                <w:b/>
                <w:sz w:val="20"/>
                <w:szCs w:val="20"/>
              </w:rPr>
              <w:t>&lt;0.001</w:t>
            </w:r>
          </w:p>
        </w:tc>
      </w:tr>
      <w:tr w:rsidR="00505EA3" w:rsidRPr="001A5200" w14:paraId="7D20F2E5" w14:textId="77777777" w:rsidTr="0071269E">
        <w:trPr>
          <w:trHeight w:val="127"/>
          <w:jc w:val="center"/>
        </w:trPr>
        <w:tc>
          <w:tcPr>
            <w:tcW w:w="433" w:type="pct"/>
            <w:vMerge/>
            <w:shd w:val="clear" w:color="auto" w:fill="auto"/>
            <w:vAlign w:val="center"/>
            <w:hideMark/>
          </w:tcPr>
          <w:p w14:paraId="55A718DF" w14:textId="77777777" w:rsidR="00EB640B" w:rsidRPr="001A5200" w:rsidRDefault="00EB640B" w:rsidP="00505EA3">
            <w:pPr>
              <w:bidi w:val="0"/>
              <w:spacing w:after="0" w:line="240" w:lineRule="auto"/>
              <w:jc w:val="both"/>
              <w:rPr>
                <w:rFonts w:asciiTheme="majorBidi" w:hAnsiTheme="majorBidi" w:cstheme="majorBidi"/>
                <w:b/>
                <w:bCs/>
                <w:i/>
                <w:iCs/>
                <w:sz w:val="20"/>
                <w:szCs w:val="20"/>
              </w:rPr>
            </w:pPr>
          </w:p>
        </w:tc>
        <w:tc>
          <w:tcPr>
            <w:tcW w:w="671" w:type="pct"/>
            <w:shd w:val="clear" w:color="auto" w:fill="auto"/>
            <w:vAlign w:val="center"/>
            <w:hideMark/>
          </w:tcPr>
          <w:p w14:paraId="0672046C" w14:textId="77777777" w:rsidR="00EB640B" w:rsidRPr="001A5200" w:rsidRDefault="00EB640B" w:rsidP="00505EA3">
            <w:pPr>
              <w:bidi w:val="0"/>
              <w:spacing w:after="0" w:line="240" w:lineRule="auto"/>
              <w:jc w:val="both"/>
              <w:rPr>
                <w:rFonts w:asciiTheme="majorBidi" w:hAnsiTheme="majorBidi" w:cstheme="majorBidi"/>
                <w:sz w:val="20"/>
                <w:szCs w:val="20"/>
              </w:rPr>
            </w:pPr>
            <w:r w:rsidRPr="001A5200">
              <w:rPr>
                <w:rFonts w:asciiTheme="majorBidi" w:hAnsiTheme="majorBidi" w:cstheme="majorBidi"/>
                <w:b/>
                <w:bCs/>
                <w:sz w:val="20"/>
                <w:szCs w:val="20"/>
              </w:rPr>
              <w:t>Range</w:t>
            </w:r>
          </w:p>
        </w:tc>
        <w:tc>
          <w:tcPr>
            <w:tcW w:w="763" w:type="pct"/>
            <w:shd w:val="clear" w:color="auto" w:fill="auto"/>
            <w:vAlign w:val="center"/>
            <w:hideMark/>
          </w:tcPr>
          <w:p w14:paraId="5F205BCE" w14:textId="77777777" w:rsidR="00EB640B" w:rsidRPr="001A5200" w:rsidRDefault="00EB640B" w:rsidP="00505EA3">
            <w:pPr>
              <w:bidi w:val="0"/>
              <w:spacing w:after="0" w:line="240" w:lineRule="auto"/>
              <w:jc w:val="both"/>
              <w:rPr>
                <w:rFonts w:asciiTheme="majorBidi" w:hAnsiTheme="majorBidi" w:cstheme="majorBidi"/>
                <w:sz w:val="20"/>
                <w:szCs w:val="20"/>
              </w:rPr>
            </w:pPr>
            <w:r w:rsidRPr="001A5200">
              <w:rPr>
                <w:rFonts w:asciiTheme="majorBidi" w:hAnsiTheme="majorBidi" w:cstheme="majorBidi"/>
                <w:sz w:val="20"/>
                <w:szCs w:val="20"/>
              </w:rPr>
              <w:t>1.23- 3.59</w:t>
            </w:r>
          </w:p>
        </w:tc>
        <w:tc>
          <w:tcPr>
            <w:tcW w:w="847" w:type="pct"/>
            <w:shd w:val="clear" w:color="auto" w:fill="auto"/>
            <w:vAlign w:val="center"/>
            <w:hideMark/>
          </w:tcPr>
          <w:p w14:paraId="776ECCFE" w14:textId="77777777" w:rsidR="00EB640B" w:rsidRPr="001A5200" w:rsidRDefault="00EB640B" w:rsidP="00505EA3">
            <w:pPr>
              <w:bidi w:val="0"/>
              <w:spacing w:after="0" w:line="240" w:lineRule="auto"/>
              <w:jc w:val="both"/>
              <w:rPr>
                <w:rFonts w:asciiTheme="majorBidi" w:hAnsiTheme="majorBidi" w:cstheme="majorBidi"/>
                <w:sz w:val="20"/>
                <w:szCs w:val="20"/>
              </w:rPr>
            </w:pPr>
            <w:r w:rsidRPr="001A5200">
              <w:rPr>
                <w:rFonts w:asciiTheme="majorBidi" w:hAnsiTheme="majorBidi" w:cstheme="majorBidi"/>
                <w:sz w:val="20"/>
                <w:szCs w:val="20"/>
              </w:rPr>
              <w:t>0.95- 2.69</w:t>
            </w:r>
          </w:p>
        </w:tc>
        <w:tc>
          <w:tcPr>
            <w:tcW w:w="1017" w:type="pct"/>
            <w:shd w:val="clear" w:color="auto" w:fill="auto"/>
            <w:vAlign w:val="center"/>
            <w:hideMark/>
          </w:tcPr>
          <w:p w14:paraId="70BB2056" w14:textId="77777777" w:rsidR="00EB640B" w:rsidRPr="001A5200" w:rsidRDefault="00EB640B" w:rsidP="00505EA3">
            <w:pPr>
              <w:bidi w:val="0"/>
              <w:spacing w:after="0" w:line="240" w:lineRule="auto"/>
              <w:jc w:val="both"/>
              <w:rPr>
                <w:rFonts w:asciiTheme="majorBidi" w:hAnsiTheme="majorBidi" w:cstheme="majorBidi"/>
                <w:sz w:val="20"/>
                <w:szCs w:val="20"/>
              </w:rPr>
            </w:pPr>
            <w:r w:rsidRPr="001A5200">
              <w:rPr>
                <w:rFonts w:asciiTheme="majorBidi" w:hAnsiTheme="majorBidi" w:cstheme="majorBidi"/>
                <w:sz w:val="20"/>
                <w:szCs w:val="20"/>
              </w:rPr>
              <w:t>1.0- 1.0</w:t>
            </w:r>
          </w:p>
        </w:tc>
        <w:tc>
          <w:tcPr>
            <w:tcW w:w="510" w:type="pct"/>
            <w:vMerge/>
            <w:shd w:val="clear" w:color="auto" w:fill="auto"/>
            <w:vAlign w:val="center"/>
            <w:hideMark/>
          </w:tcPr>
          <w:p w14:paraId="55D46B04" w14:textId="77777777" w:rsidR="00EB640B" w:rsidRPr="001A5200" w:rsidRDefault="00EB640B" w:rsidP="00505EA3">
            <w:pPr>
              <w:bidi w:val="0"/>
              <w:spacing w:after="0" w:line="240" w:lineRule="auto"/>
              <w:jc w:val="both"/>
              <w:rPr>
                <w:rFonts w:asciiTheme="majorBidi" w:hAnsiTheme="majorBidi" w:cstheme="majorBidi"/>
                <w:sz w:val="20"/>
                <w:szCs w:val="20"/>
              </w:rPr>
            </w:pPr>
          </w:p>
        </w:tc>
        <w:tc>
          <w:tcPr>
            <w:tcW w:w="759" w:type="pct"/>
            <w:vMerge/>
            <w:shd w:val="clear" w:color="auto" w:fill="auto"/>
            <w:vAlign w:val="center"/>
            <w:hideMark/>
          </w:tcPr>
          <w:p w14:paraId="511A6852" w14:textId="77777777" w:rsidR="00EB640B" w:rsidRPr="001A5200" w:rsidRDefault="00EB640B" w:rsidP="00505EA3">
            <w:pPr>
              <w:bidi w:val="0"/>
              <w:spacing w:after="0" w:line="240" w:lineRule="auto"/>
              <w:jc w:val="both"/>
              <w:rPr>
                <w:rFonts w:asciiTheme="majorBidi" w:hAnsiTheme="majorBidi" w:cstheme="majorBidi"/>
                <w:sz w:val="20"/>
                <w:szCs w:val="20"/>
              </w:rPr>
            </w:pPr>
          </w:p>
        </w:tc>
      </w:tr>
    </w:tbl>
    <w:p w14:paraId="3877288C" w14:textId="77777777" w:rsidR="00EB11B1" w:rsidRPr="001A5200" w:rsidRDefault="00EB11B1" w:rsidP="00505EA3">
      <w:pPr>
        <w:bidi w:val="0"/>
        <w:spacing w:after="0" w:line="240" w:lineRule="auto"/>
        <w:jc w:val="both"/>
        <w:rPr>
          <w:rFonts w:asciiTheme="majorBidi" w:hAnsiTheme="majorBidi" w:cstheme="majorBidi"/>
          <w:sz w:val="20"/>
          <w:szCs w:val="20"/>
        </w:rPr>
        <w:sectPr w:rsidR="00EB11B1" w:rsidRPr="001A5200" w:rsidSect="00B83D64">
          <w:type w:val="continuous"/>
          <w:pgSz w:w="11909" w:h="16834" w:code="9"/>
          <w:pgMar w:top="1440" w:right="929" w:bottom="1440" w:left="1080" w:header="720" w:footer="720" w:gutter="0"/>
          <w:cols w:space="720"/>
          <w:docGrid w:linePitch="360"/>
        </w:sectPr>
      </w:pPr>
    </w:p>
    <w:p w14:paraId="46A85E2A" w14:textId="50D88FF5" w:rsidR="00F540FC" w:rsidRDefault="00EB795A" w:rsidP="00505EA3">
      <w:pPr>
        <w:bidi w:val="0"/>
        <w:spacing w:after="0" w:line="240" w:lineRule="auto"/>
        <w:jc w:val="both"/>
        <w:rPr>
          <w:rFonts w:asciiTheme="majorBidi" w:hAnsiTheme="majorBidi" w:cstheme="majorBidi"/>
          <w:sz w:val="20"/>
          <w:szCs w:val="20"/>
        </w:rPr>
      </w:pPr>
      <w:r w:rsidRPr="001A5200">
        <w:rPr>
          <w:rFonts w:asciiTheme="majorBidi" w:hAnsiTheme="majorBidi" w:cstheme="majorBidi"/>
          <w:sz w:val="20"/>
          <w:szCs w:val="20"/>
        </w:rPr>
        <w:t>Statistical significance is defined as a p-value of less than or equal to 0.05, with a p-value of less than or equal to 0.01 being highly significant. The analysis was conducted using the F-ANOVA test, with A-B=MI-UA, A-C=MI-Control, and B-C=UA-Control.</w:t>
      </w:r>
    </w:p>
    <w:p w14:paraId="5DB13CC1" w14:textId="77777777" w:rsidR="001A5200" w:rsidRPr="001A5200" w:rsidRDefault="001A5200" w:rsidP="00505EA3">
      <w:pPr>
        <w:bidi w:val="0"/>
        <w:spacing w:after="0" w:line="240" w:lineRule="auto"/>
        <w:jc w:val="both"/>
        <w:rPr>
          <w:rFonts w:asciiTheme="majorBidi" w:hAnsiTheme="majorBidi" w:cstheme="majorBidi"/>
          <w:sz w:val="20"/>
          <w:szCs w:val="20"/>
        </w:rPr>
      </w:pPr>
    </w:p>
    <w:p w14:paraId="6115E0E0" w14:textId="77777777" w:rsidR="00373C01" w:rsidRPr="001A5200" w:rsidRDefault="00373C01" w:rsidP="00505EA3">
      <w:pPr>
        <w:tabs>
          <w:tab w:val="center" w:pos="4680"/>
        </w:tabs>
        <w:bidi w:val="0"/>
        <w:spacing w:after="0" w:line="240" w:lineRule="auto"/>
        <w:jc w:val="both"/>
        <w:rPr>
          <w:rFonts w:asciiTheme="majorBidi" w:eastAsia="Calibri" w:hAnsiTheme="majorBidi" w:cstheme="majorBidi"/>
          <w:b/>
          <w:bCs/>
          <w:sz w:val="20"/>
          <w:szCs w:val="20"/>
        </w:rPr>
        <w:sectPr w:rsidR="00373C01" w:rsidRPr="001A5200" w:rsidSect="00B83D64">
          <w:type w:val="continuous"/>
          <w:pgSz w:w="11909" w:h="16834" w:code="9"/>
          <w:pgMar w:top="1440" w:right="929" w:bottom="1440" w:left="1080" w:header="720" w:footer="720" w:gutter="0"/>
          <w:cols w:space="720"/>
          <w:docGrid w:linePitch="360"/>
        </w:sectPr>
      </w:pPr>
    </w:p>
    <w:p w14:paraId="3361342F" w14:textId="737496AC" w:rsidR="00C407B7" w:rsidRPr="001A5200" w:rsidRDefault="008A22B5" w:rsidP="00505EA3">
      <w:pPr>
        <w:tabs>
          <w:tab w:val="center" w:pos="4680"/>
        </w:tabs>
        <w:bidi w:val="0"/>
        <w:spacing w:after="0" w:line="240" w:lineRule="auto"/>
        <w:jc w:val="both"/>
        <w:rPr>
          <w:rFonts w:asciiTheme="majorBidi" w:eastAsia="Calibri" w:hAnsiTheme="majorBidi" w:cstheme="majorBidi"/>
          <w:b/>
          <w:bCs/>
          <w:sz w:val="20"/>
          <w:szCs w:val="20"/>
        </w:rPr>
      </w:pPr>
      <w:r w:rsidRPr="001A5200">
        <w:rPr>
          <w:rFonts w:asciiTheme="majorBidi" w:eastAsia="Calibri" w:hAnsiTheme="majorBidi" w:cstheme="majorBidi"/>
          <w:b/>
          <w:bCs/>
          <w:sz w:val="20"/>
          <w:szCs w:val="20"/>
        </w:rPr>
        <w:t>5.Discussion</w:t>
      </w:r>
    </w:p>
    <w:p w14:paraId="2B48AF09" w14:textId="77777777" w:rsidR="00EB795A" w:rsidRPr="001A5200" w:rsidRDefault="00EB795A" w:rsidP="000E6E03">
      <w:pPr>
        <w:bidi w:val="0"/>
        <w:spacing w:after="0" w:line="240" w:lineRule="auto"/>
        <w:ind w:firstLine="360"/>
        <w:jc w:val="both"/>
        <w:rPr>
          <w:rFonts w:asciiTheme="majorBidi" w:hAnsiTheme="majorBidi" w:cstheme="majorBidi"/>
          <w:sz w:val="20"/>
          <w:szCs w:val="20"/>
          <w:shd w:val="clear" w:color="auto" w:fill="FFFFFF"/>
        </w:rPr>
      </w:pPr>
      <w:r w:rsidRPr="001A5200">
        <w:rPr>
          <w:rFonts w:asciiTheme="majorBidi" w:hAnsiTheme="majorBidi" w:cstheme="majorBidi"/>
          <w:sz w:val="20"/>
          <w:szCs w:val="20"/>
          <w:shd w:val="clear" w:color="auto" w:fill="FFFFFF"/>
        </w:rPr>
        <w:t>Worldwide, coronary artery disease (CAD) accounts for a disproportionate share of all cardiovascular deaths. Disruption of the atherosclerotic plaque and thrombotic blockage of the artery cause acute coronary syndrome (ACS), a subtype of coronary artery disease (CAD) [1]. Cardiovascular disease (CVD) is one of the diseases that may be detected non-invasively by measuring miRNAs in the blood and other bodily fluids [14]. The non-invasive potential of circulating miRNAs as indicators of cardiovascular diseases such as unstable angina, ST-elevation myocardial infarction (NSTEMI), unstable coronary artery disease (CAD), and acute coronary syndrome (ACS) is now attracting a lot of attention [15]. Potential biomarker possibilities include miRNAs in circulation because to their resistance to ribonuclease and stability across extreme temperatures [15].</w:t>
      </w:r>
    </w:p>
    <w:p w14:paraId="6BAA3465" w14:textId="77777777" w:rsidR="00EB795A" w:rsidRPr="001A5200" w:rsidRDefault="00EB795A" w:rsidP="000E6E03">
      <w:pPr>
        <w:bidi w:val="0"/>
        <w:spacing w:after="0" w:line="240" w:lineRule="auto"/>
        <w:ind w:firstLine="360"/>
        <w:jc w:val="both"/>
        <w:rPr>
          <w:rFonts w:asciiTheme="majorBidi" w:hAnsiTheme="majorBidi" w:cstheme="majorBidi"/>
          <w:sz w:val="20"/>
          <w:szCs w:val="20"/>
          <w:shd w:val="clear" w:color="auto" w:fill="FFFFFF"/>
        </w:rPr>
      </w:pPr>
      <w:r w:rsidRPr="001A5200">
        <w:rPr>
          <w:rFonts w:asciiTheme="majorBidi" w:hAnsiTheme="majorBidi" w:cstheme="majorBidi"/>
          <w:sz w:val="20"/>
          <w:szCs w:val="20"/>
          <w:shd w:val="clear" w:color="auto" w:fill="FFFFFF"/>
        </w:rPr>
        <w:t>Ultimately, miR-1 enhances myoblast development by targeting the production of heat shock proteins (HSP)-60, HSP-70, and Bcl-2. Cardiomyocytes and skeletal muscle produce a lot of it, and it is released into the bloodstream when the heart becomes injured (Lee et al., 2021). Its promise for quick diagnosis is supported by the fact that its level rises in plasma samples taken from patients less than 2 hours after the start of symptoms [13].</w:t>
      </w:r>
    </w:p>
    <w:p w14:paraId="7607DDB6" w14:textId="19F10530" w:rsidR="001308B0" w:rsidRPr="001A5200" w:rsidRDefault="00EB795A" w:rsidP="000E6E03">
      <w:pPr>
        <w:bidi w:val="0"/>
        <w:spacing w:after="0" w:line="240" w:lineRule="auto"/>
        <w:ind w:firstLine="360"/>
        <w:jc w:val="both"/>
        <w:rPr>
          <w:rFonts w:asciiTheme="majorBidi" w:hAnsiTheme="majorBidi" w:cstheme="majorBidi"/>
          <w:sz w:val="20"/>
          <w:szCs w:val="20"/>
          <w:shd w:val="clear" w:color="auto" w:fill="FFFFFF"/>
        </w:rPr>
      </w:pPr>
      <w:r w:rsidRPr="001A5200">
        <w:rPr>
          <w:rFonts w:asciiTheme="majorBidi" w:hAnsiTheme="majorBidi" w:cstheme="majorBidi"/>
          <w:sz w:val="20"/>
          <w:szCs w:val="20"/>
          <w:shd w:val="clear" w:color="auto" w:fill="FFFFFF"/>
        </w:rPr>
        <w:t>The mean age of AMI patients in this study was 55.85± 5.49 years, the mean age of UA patients was 54.65± 7.79 years, and the mean age of the control group was 50.90± 8.64 years. The age range of the AMI patients was 44–66 years, the UA patients were 38–63 years, and the control group was 36–69 years old.</w:t>
      </w:r>
    </w:p>
    <w:p w14:paraId="59F7EBAC" w14:textId="2AC5F09C" w:rsidR="00EB795A" w:rsidRPr="001A5200" w:rsidRDefault="00EB795A" w:rsidP="000E6E03">
      <w:pPr>
        <w:bidi w:val="0"/>
        <w:spacing w:after="0" w:line="240" w:lineRule="auto"/>
        <w:ind w:firstLine="360"/>
        <w:jc w:val="both"/>
        <w:rPr>
          <w:rFonts w:asciiTheme="majorBidi" w:hAnsiTheme="majorBidi" w:cstheme="majorBidi"/>
          <w:sz w:val="20"/>
          <w:szCs w:val="20"/>
          <w:shd w:val="clear" w:color="auto" w:fill="FFFFFF"/>
        </w:rPr>
      </w:pPr>
      <w:r w:rsidRPr="001A5200">
        <w:rPr>
          <w:rFonts w:asciiTheme="majorBidi" w:hAnsiTheme="majorBidi" w:cstheme="majorBidi"/>
          <w:sz w:val="20"/>
          <w:szCs w:val="20"/>
          <w:shd w:val="clear" w:color="auto" w:fill="FFFFFF"/>
        </w:rPr>
        <w:t>According to research, the average age of patients with acute myocardial infarction was 53.50 ± 10.56 years, whereas the control group had an average age of 52.5 ± 13.50 years [7].</w:t>
      </w:r>
    </w:p>
    <w:p w14:paraId="0472F136" w14:textId="77777777" w:rsidR="00EB795A" w:rsidRPr="001A5200" w:rsidRDefault="00EB795A" w:rsidP="000E6E03">
      <w:pPr>
        <w:bidi w:val="0"/>
        <w:spacing w:after="0" w:line="240" w:lineRule="auto"/>
        <w:ind w:firstLine="360"/>
        <w:jc w:val="both"/>
        <w:rPr>
          <w:rFonts w:asciiTheme="majorBidi" w:hAnsiTheme="majorBidi" w:cstheme="majorBidi"/>
          <w:sz w:val="20"/>
          <w:szCs w:val="20"/>
          <w:shd w:val="clear" w:color="auto" w:fill="FFFFFF"/>
        </w:rPr>
      </w:pPr>
      <w:r w:rsidRPr="001A5200">
        <w:rPr>
          <w:rFonts w:asciiTheme="majorBidi" w:hAnsiTheme="majorBidi" w:cstheme="majorBidi"/>
          <w:sz w:val="20"/>
          <w:szCs w:val="20"/>
          <w:shd w:val="clear" w:color="auto" w:fill="FFFFFF"/>
        </w:rPr>
        <w:t>The average age of patients with acute myocardial infarction (AMI) was 59.1 ± 9.2, that of patients with unspecified adverse cardiac events (UA) was 60.4 ± 7.2, and that of the control group was 56.0 ± 8.5, according to further research [16].</w:t>
      </w:r>
    </w:p>
    <w:p w14:paraId="7910FC75" w14:textId="77777777" w:rsidR="00EB795A" w:rsidRPr="001A5200" w:rsidRDefault="00EB795A" w:rsidP="000E6E03">
      <w:pPr>
        <w:bidi w:val="0"/>
        <w:spacing w:after="0" w:line="240" w:lineRule="auto"/>
        <w:ind w:firstLine="360"/>
        <w:jc w:val="both"/>
        <w:rPr>
          <w:rFonts w:asciiTheme="majorBidi" w:hAnsiTheme="majorBidi" w:cstheme="majorBidi"/>
          <w:sz w:val="20"/>
          <w:szCs w:val="20"/>
          <w:shd w:val="clear" w:color="auto" w:fill="FFFFFF"/>
        </w:rPr>
      </w:pPr>
      <w:r w:rsidRPr="001A5200">
        <w:rPr>
          <w:rFonts w:asciiTheme="majorBidi" w:hAnsiTheme="majorBidi" w:cstheme="majorBidi"/>
          <w:sz w:val="20"/>
          <w:szCs w:val="20"/>
          <w:shd w:val="clear" w:color="auto" w:fill="FFFFFF"/>
        </w:rPr>
        <w:t>According to [17], the average age of patients with acute myocardial infarction was 55.65 ± 11.36, while the non-MI group (including the UA group and the healthy control group) had an average age of 56.86 ± 12.15. These findings were also in agreement with those.</w:t>
      </w:r>
    </w:p>
    <w:p w14:paraId="3364627C" w14:textId="77777777" w:rsidR="00EB795A" w:rsidRPr="001A5200" w:rsidRDefault="00EB795A" w:rsidP="000E6E03">
      <w:pPr>
        <w:bidi w:val="0"/>
        <w:spacing w:after="0" w:line="240" w:lineRule="auto"/>
        <w:ind w:firstLine="360"/>
        <w:jc w:val="both"/>
        <w:rPr>
          <w:rFonts w:asciiTheme="majorBidi" w:hAnsiTheme="majorBidi" w:cstheme="majorBidi"/>
          <w:sz w:val="20"/>
          <w:szCs w:val="20"/>
          <w:shd w:val="clear" w:color="auto" w:fill="FFFFFF"/>
        </w:rPr>
      </w:pPr>
      <w:r w:rsidRPr="001A5200">
        <w:rPr>
          <w:rFonts w:asciiTheme="majorBidi" w:hAnsiTheme="majorBidi" w:cstheme="majorBidi"/>
          <w:sz w:val="20"/>
          <w:szCs w:val="20"/>
          <w:shd w:val="clear" w:color="auto" w:fill="FFFFFF"/>
        </w:rPr>
        <w:t>When looking at the age distribution and sex distribution of the groups tested, the present research found no statistically significant difference (p value &gt; 0.05).</w:t>
      </w:r>
    </w:p>
    <w:p w14:paraId="0D7E9E30" w14:textId="77777777" w:rsidR="00EB795A" w:rsidRPr="001A5200" w:rsidRDefault="00EB795A" w:rsidP="000E6E03">
      <w:pPr>
        <w:bidi w:val="0"/>
        <w:spacing w:after="0" w:line="240" w:lineRule="auto"/>
        <w:ind w:firstLine="360"/>
        <w:jc w:val="both"/>
        <w:rPr>
          <w:rFonts w:asciiTheme="majorBidi" w:hAnsiTheme="majorBidi" w:cstheme="majorBidi"/>
          <w:sz w:val="20"/>
          <w:szCs w:val="20"/>
          <w:shd w:val="clear" w:color="auto" w:fill="FFFFFF"/>
        </w:rPr>
      </w:pPr>
      <w:r w:rsidRPr="001A5200">
        <w:rPr>
          <w:rFonts w:asciiTheme="majorBidi" w:hAnsiTheme="majorBidi" w:cstheme="majorBidi"/>
          <w:sz w:val="20"/>
          <w:szCs w:val="20"/>
          <w:shd w:val="clear" w:color="auto" w:fill="FFFFFF"/>
        </w:rPr>
        <w:t>This was in line with the findings of [18], which showed that the control group and those with acute myocardial infarction did not vary significantly with respect to gender or mean age.</w:t>
      </w:r>
    </w:p>
    <w:p w14:paraId="5D0C4541" w14:textId="77777777" w:rsidR="00EB795A" w:rsidRPr="001A5200" w:rsidRDefault="00EB795A" w:rsidP="000E6E03">
      <w:pPr>
        <w:bidi w:val="0"/>
        <w:spacing w:after="0" w:line="240" w:lineRule="auto"/>
        <w:ind w:firstLine="360"/>
        <w:jc w:val="both"/>
        <w:rPr>
          <w:rFonts w:asciiTheme="majorBidi" w:hAnsiTheme="majorBidi" w:cstheme="majorBidi"/>
          <w:sz w:val="20"/>
          <w:szCs w:val="20"/>
          <w:shd w:val="clear" w:color="auto" w:fill="FFFFFF"/>
        </w:rPr>
      </w:pPr>
      <w:r w:rsidRPr="001A5200">
        <w:rPr>
          <w:rFonts w:asciiTheme="majorBidi" w:hAnsiTheme="majorBidi" w:cstheme="majorBidi"/>
          <w:sz w:val="20"/>
          <w:szCs w:val="20"/>
          <w:shd w:val="clear" w:color="auto" w:fill="FFFFFF"/>
        </w:rPr>
        <w:t>There were no statistically significant variations in age or sex between the UA and control groups, according to another research [19].</w:t>
      </w:r>
    </w:p>
    <w:p w14:paraId="67D90C67" w14:textId="77777777" w:rsidR="00EB795A" w:rsidRPr="001A5200" w:rsidRDefault="00EB795A" w:rsidP="000E6E03">
      <w:pPr>
        <w:bidi w:val="0"/>
        <w:spacing w:after="0" w:line="240" w:lineRule="auto"/>
        <w:ind w:firstLine="360"/>
        <w:jc w:val="both"/>
        <w:rPr>
          <w:rFonts w:asciiTheme="majorBidi" w:hAnsiTheme="majorBidi" w:cstheme="majorBidi"/>
          <w:sz w:val="20"/>
          <w:szCs w:val="20"/>
          <w:shd w:val="clear" w:color="auto" w:fill="FFFFFF"/>
        </w:rPr>
      </w:pPr>
      <w:r w:rsidRPr="001A5200">
        <w:rPr>
          <w:rFonts w:asciiTheme="majorBidi" w:hAnsiTheme="majorBidi" w:cstheme="majorBidi"/>
          <w:sz w:val="20"/>
          <w:szCs w:val="20"/>
          <w:shd w:val="clear" w:color="auto" w:fill="FFFFFF"/>
        </w:rPr>
        <w:t>Results showed that the groups were significantly different with respect to smoking, diabetes, and hypertension.</w:t>
      </w:r>
    </w:p>
    <w:p w14:paraId="632BDEA1" w14:textId="77777777" w:rsidR="00EB795A" w:rsidRPr="001A5200" w:rsidRDefault="00EB795A" w:rsidP="000E6E03">
      <w:pPr>
        <w:bidi w:val="0"/>
        <w:spacing w:after="0" w:line="240" w:lineRule="auto"/>
        <w:ind w:firstLine="360"/>
        <w:jc w:val="both"/>
        <w:rPr>
          <w:rFonts w:asciiTheme="majorBidi" w:hAnsiTheme="majorBidi" w:cstheme="majorBidi"/>
          <w:sz w:val="20"/>
          <w:szCs w:val="20"/>
          <w:shd w:val="clear" w:color="auto" w:fill="FFFFFF"/>
        </w:rPr>
      </w:pPr>
      <w:r w:rsidRPr="001A5200">
        <w:rPr>
          <w:rFonts w:asciiTheme="majorBidi" w:hAnsiTheme="majorBidi" w:cstheme="majorBidi"/>
          <w:sz w:val="20"/>
          <w:szCs w:val="20"/>
          <w:shd w:val="clear" w:color="auto" w:fill="FFFFFF"/>
        </w:rPr>
        <w:t>Consistent with the current findings, [20] found that there were substantial differences in smoking, hypertension, and DM between the AMI group and the non-AMI groups (UA group and healthy control group).</w:t>
      </w:r>
    </w:p>
    <w:p w14:paraId="68D9F075" w14:textId="77777777" w:rsidR="00EB795A" w:rsidRPr="001A5200" w:rsidRDefault="00EB795A" w:rsidP="000E6E03">
      <w:pPr>
        <w:bidi w:val="0"/>
        <w:spacing w:after="0" w:line="240" w:lineRule="auto"/>
        <w:ind w:firstLine="360"/>
        <w:jc w:val="both"/>
        <w:rPr>
          <w:rFonts w:asciiTheme="majorBidi" w:hAnsiTheme="majorBidi" w:cstheme="majorBidi"/>
          <w:sz w:val="20"/>
          <w:szCs w:val="20"/>
          <w:shd w:val="clear" w:color="auto" w:fill="FFFFFF"/>
        </w:rPr>
      </w:pPr>
      <w:r w:rsidRPr="001A5200">
        <w:rPr>
          <w:rFonts w:asciiTheme="majorBidi" w:hAnsiTheme="majorBidi" w:cstheme="majorBidi"/>
          <w:sz w:val="20"/>
          <w:szCs w:val="20"/>
          <w:shd w:val="clear" w:color="auto" w:fill="FFFFFF"/>
        </w:rPr>
        <w:lastRenderedPageBreak/>
        <w:t xml:space="preserve">According to the results of this investigation, </w:t>
      </w:r>
      <w:proofErr w:type="spellStart"/>
      <w:r w:rsidRPr="001A5200">
        <w:rPr>
          <w:rFonts w:asciiTheme="majorBidi" w:hAnsiTheme="majorBidi" w:cstheme="majorBidi"/>
          <w:sz w:val="20"/>
          <w:szCs w:val="20"/>
          <w:shd w:val="clear" w:color="auto" w:fill="FFFFFF"/>
        </w:rPr>
        <w:t>cTnI</w:t>
      </w:r>
      <w:proofErr w:type="spellEnd"/>
      <w:r w:rsidRPr="001A5200">
        <w:rPr>
          <w:rFonts w:asciiTheme="majorBidi" w:hAnsiTheme="majorBidi" w:cstheme="majorBidi"/>
          <w:sz w:val="20"/>
          <w:szCs w:val="20"/>
          <w:shd w:val="clear" w:color="auto" w:fill="FFFFFF"/>
        </w:rPr>
        <w:t xml:space="preserve"> levels were significantly higher in group A (AMI) compared to group B (UA). This matched the results of a previous research that found an elevated </w:t>
      </w:r>
      <w:proofErr w:type="spellStart"/>
      <w:r w:rsidRPr="001A5200">
        <w:rPr>
          <w:rFonts w:asciiTheme="majorBidi" w:hAnsiTheme="majorBidi" w:cstheme="majorBidi"/>
          <w:sz w:val="20"/>
          <w:szCs w:val="20"/>
          <w:shd w:val="clear" w:color="auto" w:fill="FFFFFF"/>
        </w:rPr>
        <w:t>cTnI</w:t>
      </w:r>
      <w:proofErr w:type="spellEnd"/>
      <w:r w:rsidRPr="001A5200">
        <w:rPr>
          <w:rFonts w:asciiTheme="majorBidi" w:hAnsiTheme="majorBidi" w:cstheme="majorBidi"/>
          <w:sz w:val="20"/>
          <w:szCs w:val="20"/>
          <w:shd w:val="clear" w:color="auto" w:fill="FFFFFF"/>
        </w:rPr>
        <w:t xml:space="preserve"> (p &lt; 0.05) in individuals with AMI compared to those with UA [17].</w:t>
      </w:r>
    </w:p>
    <w:p w14:paraId="4C49FB0D" w14:textId="77777777" w:rsidR="00EB795A" w:rsidRPr="001A5200" w:rsidRDefault="00EB795A" w:rsidP="000E6E03">
      <w:pPr>
        <w:bidi w:val="0"/>
        <w:spacing w:after="0" w:line="240" w:lineRule="auto"/>
        <w:ind w:firstLine="360"/>
        <w:jc w:val="both"/>
        <w:rPr>
          <w:rFonts w:asciiTheme="majorBidi" w:hAnsiTheme="majorBidi" w:cstheme="majorBidi"/>
          <w:sz w:val="20"/>
          <w:szCs w:val="20"/>
          <w:shd w:val="clear" w:color="auto" w:fill="FFFFFF"/>
        </w:rPr>
      </w:pPr>
      <w:r w:rsidRPr="001A5200">
        <w:rPr>
          <w:rFonts w:asciiTheme="majorBidi" w:hAnsiTheme="majorBidi" w:cstheme="majorBidi"/>
          <w:sz w:val="20"/>
          <w:szCs w:val="20"/>
          <w:shd w:val="clear" w:color="auto" w:fill="FFFFFF"/>
        </w:rPr>
        <w:t xml:space="preserve">In terms of </w:t>
      </w:r>
      <w:proofErr w:type="spellStart"/>
      <w:r w:rsidRPr="001A5200">
        <w:rPr>
          <w:rFonts w:asciiTheme="majorBidi" w:hAnsiTheme="majorBidi" w:cstheme="majorBidi"/>
          <w:sz w:val="20"/>
          <w:szCs w:val="20"/>
          <w:shd w:val="clear" w:color="auto" w:fill="FFFFFF"/>
        </w:rPr>
        <w:t>cTnI</w:t>
      </w:r>
      <w:proofErr w:type="spellEnd"/>
      <w:r w:rsidRPr="001A5200">
        <w:rPr>
          <w:rFonts w:asciiTheme="majorBidi" w:hAnsiTheme="majorBidi" w:cstheme="majorBidi"/>
          <w:sz w:val="20"/>
          <w:szCs w:val="20"/>
          <w:shd w:val="clear" w:color="auto" w:fill="FFFFFF"/>
        </w:rPr>
        <w:t xml:space="preserve"> levels, the present investigation showed that group A (AMI) had a much higher rise than group C (control group) (p&lt;0.001).</w:t>
      </w:r>
    </w:p>
    <w:p w14:paraId="6D68BB60" w14:textId="77777777" w:rsidR="00EB795A" w:rsidRPr="001A5200" w:rsidRDefault="00EB795A" w:rsidP="000E6E03">
      <w:pPr>
        <w:bidi w:val="0"/>
        <w:spacing w:after="0" w:line="240" w:lineRule="auto"/>
        <w:ind w:firstLine="360"/>
        <w:jc w:val="both"/>
        <w:rPr>
          <w:rFonts w:asciiTheme="majorBidi" w:hAnsiTheme="majorBidi" w:cstheme="majorBidi"/>
          <w:sz w:val="20"/>
          <w:szCs w:val="20"/>
          <w:shd w:val="clear" w:color="auto" w:fill="FFFFFF"/>
        </w:rPr>
      </w:pPr>
      <w:r w:rsidRPr="001A5200">
        <w:rPr>
          <w:rFonts w:asciiTheme="majorBidi" w:hAnsiTheme="majorBidi" w:cstheme="majorBidi"/>
          <w:sz w:val="20"/>
          <w:szCs w:val="20"/>
          <w:shd w:val="clear" w:color="auto" w:fill="FFFFFF"/>
        </w:rPr>
        <w:t xml:space="preserve">This jibes with </w:t>
      </w:r>
      <w:proofErr w:type="gramStart"/>
      <w:r w:rsidRPr="001A5200">
        <w:rPr>
          <w:rFonts w:asciiTheme="majorBidi" w:hAnsiTheme="majorBidi" w:cstheme="majorBidi"/>
          <w:sz w:val="20"/>
          <w:szCs w:val="20"/>
          <w:shd w:val="clear" w:color="auto" w:fill="FFFFFF"/>
        </w:rPr>
        <w:t>a new research</w:t>
      </w:r>
      <w:proofErr w:type="gramEnd"/>
      <w:r w:rsidRPr="001A5200">
        <w:rPr>
          <w:rFonts w:asciiTheme="majorBidi" w:hAnsiTheme="majorBidi" w:cstheme="majorBidi"/>
          <w:sz w:val="20"/>
          <w:szCs w:val="20"/>
          <w:shd w:val="clear" w:color="auto" w:fill="FFFFFF"/>
        </w:rPr>
        <w:t xml:space="preserve"> that found </w:t>
      </w:r>
      <w:proofErr w:type="spellStart"/>
      <w:r w:rsidRPr="001A5200">
        <w:rPr>
          <w:rFonts w:asciiTheme="majorBidi" w:hAnsiTheme="majorBidi" w:cstheme="majorBidi"/>
          <w:sz w:val="20"/>
          <w:szCs w:val="20"/>
          <w:shd w:val="clear" w:color="auto" w:fill="FFFFFF"/>
        </w:rPr>
        <w:t>cTnI</w:t>
      </w:r>
      <w:proofErr w:type="spellEnd"/>
      <w:r w:rsidRPr="001A5200">
        <w:rPr>
          <w:rFonts w:asciiTheme="majorBidi" w:hAnsiTheme="majorBidi" w:cstheme="majorBidi"/>
          <w:sz w:val="20"/>
          <w:szCs w:val="20"/>
          <w:shd w:val="clear" w:color="auto" w:fill="FFFFFF"/>
        </w:rPr>
        <w:t xml:space="preserve"> to be higher (p &lt; 0.05) in the AMI group compared to the control group [17].</w:t>
      </w:r>
    </w:p>
    <w:p w14:paraId="34F21231" w14:textId="77777777" w:rsidR="00EB795A" w:rsidRPr="001A5200" w:rsidRDefault="00EB795A" w:rsidP="000E6E03">
      <w:pPr>
        <w:bidi w:val="0"/>
        <w:spacing w:after="0" w:line="240" w:lineRule="auto"/>
        <w:ind w:firstLine="360"/>
        <w:jc w:val="both"/>
        <w:rPr>
          <w:rFonts w:asciiTheme="majorBidi" w:hAnsiTheme="majorBidi" w:cstheme="majorBidi"/>
          <w:sz w:val="20"/>
          <w:szCs w:val="20"/>
          <w:shd w:val="clear" w:color="auto" w:fill="FFFFFF"/>
        </w:rPr>
      </w:pPr>
      <w:r w:rsidRPr="001A5200">
        <w:rPr>
          <w:rFonts w:asciiTheme="majorBidi" w:hAnsiTheme="majorBidi" w:cstheme="majorBidi"/>
          <w:sz w:val="20"/>
          <w:szCs w:val="20"/>
          <w:shd w:val="clear" w:color="auto" w:fill="FFFFFF"/>
        </w:rPr>
        <w:t xml:space="preserve">When comparing the </w:t>
      </w:r>
      <w:proofErr w:type="spellStart"/>
      <w:r w:rsidRPr="001A5200">
        <w:rPr>
          <w:rFonts w:asciiTheme="majorBidi" w:hAnsiTheme="majorBidi" w:cstheme="majorBidi"/>
          <w:sz w:val="20"/>
          <w:szCs w:val="20"/>
          <w:shd w:val="clear" w:color="auto" w:fill="FFFFFF"/>
        </w:rPr>
        <w:t>cTnI</w:t>
      </w:r>
      <w:proofErr w:type="spellEnd"/>
      <w:r w:rsidRPr="001A5200">
        <w:rPr>
          <w:rFonts w:asciiTheme="majorBidi" w:hAnsiTheme="majorBidi" w:cstheme="majorBidi"/>
          <w:sz w:val="20"/>
          <w:szCs w:val="20"/>
          <w:shd w:val="clear" w:color="auto" w:fill="FFFFFF"/>
        </w:rPr>
        <w:t xml:space="preserve"> levels of groups B (UA) and C (control group), no statistically significant difference was found.</w:t>
      </w:r>
    </w:p>
    <w:p w14:paraId="29298818" w14:textId="77777777" w:rsidR="00EB795A" w:rsidRPr="001A5200" w:rsidRDefault="00EB795A" w:rsidP="000E6E03">
      <w:pPr>
        <w:bidi w:val="0"/>
        <w:spacing w:after="0" w:line="240" w:lineRule="auto"/>
        <w:ind w:firstLine="360"/>
        <w:jc w:val="both"/>
        <w:rPr>
          <w:rFonts w:asciiTheme="majorBidi" w:hAnsiTheme="majorBidi" w:cstheme="majorBidi"/>
          <w:sz w:val="20"/>
          <w:szCs w:val="20"/>
          <w:shd w:val="clear" w:color="auto" w:fill="FFFFFF"/>
        </w:rPr>
      </w:pPr>
      <w:r w:rsidRPr="001A5200">
        <w:rPr>
          <w:rFonts w:asciiTheme="majorBidi" w:hAnsiTheme="majorBidi" w:cstheme="majorBidi"/>
          <w:sz w:val="20"/>
          <w:szCs w:val="20"/>
          <w:shd w:val="clear" w:color="auto" w:fill="FFFFFF"/>
        </w:rPr>
        <w:t xml:space="preserve">There was no statistically significant difference in </w:t>
      </w:r>
      <w:proofErr w:type="spellStart"/>
      <w:r w:rsidRPr="001A5200">
        <w:rPr>
          <w:rFonts w:asciiTheme="majorBidi" w:hAnsiTheme="majorBidi" w:cstheme="majorBidi"/>
          <w:sz w:val="20"/>
          <w:szCs w:val="20"/>
          <w:shd w:val="clear" w:color="auto" w:fill="FFFFFF"/>
        </w:rPr>
        <w:t>cTnI</w:t>
      </w:r>
      <w:proofErr w:type="spellEnd"/>
      <w:r w:rsidRPr="001A5200">
        <w:rPr>
          <w:rFonts w:asciiTheme="majorBidi" w:hAnsiTheme="majorBidi" w:cstheme="majorBidi"/>
          <w:sz w:val="20"/>
          <w:szCs w:val="20"/>
          <w:shd w:val="clear" w:color="auto" w:fill="FFFFFF"/>
        </w:rPr>
        <w:t xml:space="preserve"> between the control group and the UA group, as described in [21].</w:t>
      </w:r>
    </w:p>
    <w:p w14:paraId="36AB9046" w14:textId="77777777" w:rsidR="00EB795A" w:rsidRPr="001A5200" w:rsidRDefault="00EB795A" w:rsidP="000E6E03">
      <w:pPr>
        <w:bidi w:val="0"/>
        <w:spacing w:after="0" w:line="240" w:lineRule="auto"/>
        <w:ind w:firstLine="360"/>
        <w:jc w:val="both"/>
        <w:rPr>
          <w:rFonts w:asciiTheme="majorBidi" w:hAnsiTheme="majorBidi" w:cstheme="majorBidi"/>
          <w:sz w:val="20"/>
          <w:szCs w:val="20"/>
          <w:shd w:val="clear" w:color="auto" w:fill="FFFFFF"/>
        </w:rPr>
      </w:pPr>
      <w:r w:rsidRPr="001A5200">
        <w:rPr>
          <w:rFonts w:asciiTheme="majorBidi" w:hAnsiTheme="majorBidi" w:cstheme="majorBidi"/>
          <w:sz w:val="20"/>
          <w:szCs w:val="20"/>
          <w:shd w:val="clear" w:color="auto" w:fill="FFFFFF"/>
        </w:rPr>
        <w:t>The results showed that between groups A (AMI) and B, there was a significantly higher level of Mir-1 expression (p&lt;0.001) (UA).</w:t>
      </w:r>
    </w:p>
    <w:p w14:paraId="4118ACB5" w14:textId="77777777" w:rsidR="00EB795A" w:rsidRPr="001A5200" w:rsidRDefault="00EB795A" w:rsidP="000E6E03">
      <w:pPr>
        <w:bidi w:val="0"/>
        <w:spacing w:after="0" w:line="240" w:lineRule="auto"/>
        <w:ind w:firstLine="360"/>
        <w:jc w:val="both"/>
        <w:rPr>
          <w:rFonts w:asciiTheme="majorBidi" w:hAnsiTheme="majorBidi" w:cstheme="majorBidi"/>
          <w:sz w:val="20"/>
          <w:szCs w:val="20"/>
          <w:shd w:val="clear" w:color="auto" w:fill="FFFFFF"/>
        </w:rPr>
      </w:pPr>
      <w:r w:rsidRPr="001A5200">
        <w:rPr>
          <w:rFonts w:asciiTheme="majorBidi" w:hAnsiTheme="majorBidi" w:cstheme="majorBidi"/>
          <w:sz w:val="20"/>
          <w:szCs w:val="20"/>
          <w:shd w:val="clear" w:color="auto" w:fill="FFFFFF"/>
        </w:rPr>
        <w:t>Consistent with previous research, our investigation found that circulating miR-1 levels were much greater in patients with early AMI compared to UA.</w:t>
      </w:r>
    </w:p>
    <w:p w14:paraId="0CDDB235" w14:textId="77777777" w:rsidR="00EB795A" w:rsidRPr="001A5200" w:rsidRDefault="00EB795A" w:rsidP="000E6E03">
      <w:pPr>
        <w:bidi w:val="0"/>
        <w:spacing w:after="0" w:line="240" w:lineRule="auto"/>
        <w:ind w:firstLine="360"/>
        <w:jc w:val="both"/>
        <w:rPr>
          <w:rFonts w:asciiTheme="majorBidi" w:hAnsiTheme="majorBidi" w:cstheme="majorBidi"/>
          <w:sz w:val="20"/>
          <w:szCs w:val="20"/>
          <w:shd w:val="clear" w:color="auto" w:fill="FFFFFF"/>
        </w:rPr>
      </w:pPr>
      <w:r w:rsidRPr="001A5200">
        <w:rPr>
          <w:rFonts w:asciiTheme="majorBidi" w:hAnsiTheme="majorBidi" w:cstheme="majorBidi"/>
          <w:sz w:val="20"/>
          <w:szCs w:val="20"/>
          <w:shd w:val="clear" w:color="auto" w:fill="FFFFFF"/>
        </w:rPr>
        <w:t>The results showed that groups A (AMI) and C had a significantly higher level of early Mir-1 expression (p&lt;0.001) (control group).</w:t>
      </w:r>
    </w:p>
    <w:p w14:paraId="32095050" w14:textId="0FBDA96E" w:rsidR="00EB795A" w:rsidRDefault="00EB795A" w:rsidP="000E6E03">
      <w:pPr>
        <w:bidi w:val="0"/>
        <w:spacing w:after="0" w:line="240" w:lineRule="auto"/>
        <w:ind w:firstLine="360"/>
        <w:jc w:val="both"/>
        <w:rPr>
          <w:rFonts w:asciiTheme="majorBidi" w:hAnsiTheme="majorBidi" w:cstheme="majorBidi"/>
          <w:sz w:val="20"/>
          <w:szCs w:val="20"/>
          <w:shd w:val="clear" w:color="auto" w:fill="FFFFFF"/>
          <w:rtl/>
        </w:rPr>
      </w:pPr>
      <w:r w:rsidRPr="001A5200">
        <w:rPr>
          <w:rFonts w:asciiTheme="majorBidi" w:hAnsiTheme="majorBidi" w:cstheme="majorBidi"/>
          <w:sz w:val="20"/>
          <w:szCs w:val="20"/>
          <w:shd w:val="clear" w:color="auto" w:fill="FFFFFF"/>
        </w:rPr>
        <w:t>In agreement with the current findings, [22] found that miR-1 levels were much greater in AMI patients upon admission compared to healthy controls.</w:t>
      </w:r>
    </w:p>
    <w:p w14:paraId="3B850DF7" w14:textId="77777777" w:rsidR="00505EA3" w:rsidRDefault="00505EA3" w:rsidP="000E6E03">
      <w:pPr>
        <w:bidi w:val="0"/>
        <w:spacing w:after="0" w:line="240" w:lineRule="auto"/>
        <w:ind w:firstLine="360"/>
        <w:jc w:val="both"/>
        <w:rPr>
          <w:rFonts w:asciiTheme="majorBidi" w:hAnsiTheme="majorBidi" w:cstheme="majorBidi"/>
          <w:b/>
          <w:bCs/>
          <w:noProof/>
          <w:sz w:val="20"/>
          <w:szCs w:val="20"/>
          <w:lang w:eastAsia="ar-SA"/>
        </w:rPr>
      </w:pPr>
    </w:p>
    <w:p w14:paraId="25D29D9F" w14:textId="1BF5B09C" w:rsidR="00505EA3" w:rsidRDefault="00505EA3" w:rsidP="00505EA3">
      <w:pPr>
        <w:bidi w:val="0"/>
        <w:spacing w:after="0" w:line="240" w:lineRule="auto"/>
        <w:jc w:val="both"/>
        <w:rPr>
          <w:rFonts w:asciiTheme="majorBidi" w:hAnsiTheme="majorBidi" w:cstheme="majorBidi"/>
          <w:sz w:val="20"/>
          <w:szCs w:val="20"/>
          <w:lang w:bidi="ar-EG"/>
        </w:rPr>
      </w:pPr>
      <w:r w:rsidRPr="0072072B">
        <w:rPr>
          <w:rFonts w:asciiTheme="majorBidi" w:hAnsiTheme="majorBidi" w:cstheme="majorBidi"/>
          <w:b/>
          <w:bCs/>
          <w:noProof/>
          <w:sz w:val="20"/>
          <w:szCs w:val="20"/>
          <w:lang w:eastAsia="ar-SA"/>
        </w:rPr>
        <w:t>Conclusion</w:t>
      </w:r>
      <w:r w:rsidRPr="00D65590">
        <w:rPr>
          <w:rFonts w:asciiTheme="majorBidi" w:hAnsiTheme="majorBidi" w:cstheme="majorBidi"/>
          <w:sz w:val="20"/>
          <w:szCs w:val="20"/>
          <w:lang w:bidi="ar-EG"/>
        </w:rPr>
        <w:t xml:space="preserve"> </w:t>
      </w:r>
    </w:p>
    <w:p w14:paraId="00FE5632" w14:textId="6FD0517A" w:rsidR="00D65590" w:rsidRPr="00D65590" w:rsidRDefault="00D65590" w:rsidP="000E6E03">
      <w:pPr>
        <w:bidi w:val="0"/>
        <w:spacing w:after="0" w:line="240" w:lineRule="auto"/>
        <w:ind w:firstLine="360"/>
        <w:jc w:val="both"/>
        <w:rPr>
          <w:rFonts w:asciiTheme="majorBidi" w:hAnsiTheme="majorBidi" w:cstheme="majorBidi"/>
          <w:sz w:val="20"/>
          <w:szCs w:val="20"/>
          <w:lang w:bidi="ar-EG"/>
        </w:rPr>
      </w:pPr>
      <w:r w:rsidRPr="00D65590">
        <w:rPr>
          <w:rFonts w:asciiTheme="majorBidi" w:hAnsiTheme="majorBidi" w:cstheme="majorBidi"/>
          <w:sz w:val="20"/>
          <w:szCs w:val="20"/>
          <w:lang w:bidi="ar-EG"/>
        </w:rPr>
        <w:t>From previous discussion we concluded that miR-1 can be used as early diagnostic marker in patients with acute anterior myocardial infarction (MI) and unstable angina (UA</w:t>
      </w:r>
      <w:proofErr w:type="gramStart"/>
      <w:r w:rsidRPr="00D65590">
        <w:rPr>
          <w:rFonts w:asciiTheme="majorBidi" w:hAnsiTheme="majorBidi" w:cstheme="majorBidi"/>
          <w:sz w:val="20"/>
          <w:szCs w:val="20"/>
          <w:lang w:bidi="ar-EG"/>
        </w:rPr>
        <w:t>), and</w:t>
      </w:r>
      <w:proofErr w:type="gramEnd"/>
      <w:r w:rsidRPr="00D65590">
        <w:rPr>
          <w:rFonts w:asciiTheme="majorBidi" w:hAnsiTheme="majorBidi" w:cstheme="majorBidi"/>
          <w:sz w:val="20"/>
          <w:szCs w:val="20"/>
          <w:lang w:bidi="ar-EG"/>
        </w:rPr>
        <w:t xml:space="preserve"> could be used as differentiating tool between acute anterior myocardial infarction (MI) and unstable angina (UA).</w:t>
      </w:r>
    </w:p>
    <w:p w14:paraId="71940D09" w14:textId="77777777" w:rsidR="001A5200" w:rsidRDefault="001A5200" w:rsidP="00505EA3">
      <w:pPr>
        <w:shd w:val="clear" w:color="auto" w:fill="FFFFFF"/>
        <w:bidi w:val="0"/>
        <w:spacing w:after="0" w:line="240" w:lineRule="auto"/>
        <w:jc w:val="both"/>
        <w:rPr>
          <w:rFonts w:asciiTheme="majorBidi" w:hAnsiTheme="majorBidi" w:cstheme="majorBidi"/>
          <w:b/>
          <w:bCs/>
          <w:sz w:val="20"/>
          <w:szCs w:val="20"/>
          <w:lang w:bidi="ar-EG"/>
        </w:rPr>
      </w:pPr>
    </w:p>
    <w:p w14:paraId="48E23C61" w14:textId="35615203" w:rsidR="00165D00" w:rsidRPr="001A5200" w:rsidRDefault="000802F5" w:rsidP="00505EA3">
      <w:pPr>
        <w:shd w:val="clear" w:color="auto" w:fill="FFFFFF"/>
        <w:bidi w:val="0"/>
        <w:spacing w:after="0" w:line="240" w:lineRule="auto"/>
        <w:jc w:val="both"/>
        <w:rPr>
          <w:rFonts w:asciiTheme="majorBidi" w:hAnsiTheme="majorBidi" w:cstheme="majorBidi"/>
          <w:b/>
          <w:bCs/>
          <w:sz w:val="20"/>
          <w:szCs w:val="20"/>
          <w:lang w:bidi="ar-EG"/>
        </w:rPr>
      </w:pPr>
      <w:r w:rsidRPr="001A5200">
        <w:rPr>
          <w:rFonts w:asciiTheme="majorBidi" w:hAnsiTheme="majorBidi" w:cstheme="majorBidi"/>
          <w:b/>
          <w:bCs/>
          <w:sz w:val="20"/>
          <w:szCs w:val="20"/>
          <w:lang w:bidi="ar-EG"/>
        </w:rPr>
        <w:t>References</w:t>
      </w:r>
    </w:p>
    <w:p w14:paraId="6B7EF8D2" w14:textId="436A162D" w:rsidR="00437214" w:rsidRPr="001A5200" w:rsidRDefault="00437214" w:rsidP="000E6E03">
      <w:pPr>
        <w:pStyle w:val="ListParagraph"/>
        <w:numPr>
          <w:ilvl w:val="0"/>
          <w:numId w:val="18"/>
        </w:numPr>
        <w:bidi w:val="0"/>
        <w:spacing w:after="0" w:line="240" w:lineRule="auto"/>
        <w:ind w:left="360" w:hanging="270"/>
        <w:contextualSpacing w:val="0"/>
        <w:jc w:val="both"/>
        <w:rPr>
          <w:rFonts w:asciiTheme="majorBidi" w:hAnsiTheme="majorBidi" w:cstheme="majorBidi"/>
          <w:sz w:val="20"/>
          <w:szCs w:val="20"/>
        </w:rPr>
      </w:pPr>
      <w:r w:rsidRPr="001A5200">
        <w:rPr>
          <w:rFonts w:asciiTheme="majorBidi" w:hAnsiTheme="majorBidi" w:cstheme="majorBidi"/>
          <w:sz w:val="20"/>
          <w:szCs w:val="20"/>
        </w:rPr>
        <w:t xml:space="preserve">S.S. Virani, A. Alonso, E.J. Benjamin, M.S. Bittencourt, C.W. Callaway, A.P. Carson, A.M. Chamberlain, A.R. Chang, S. Cheng, &amp; F.N. Delling, (2020): Heart Disease and Stroke Statistics: A Report </w:t>
      </w:r>
      <w:r w:rsidR="004507AE" w:rsidRPr="001A5200">
        <w:rPr>
          <w:rFonts w:asciiTheme="majorBidi" w:hAnsiTheme="majorBidi" w:cstheme="majorBidi"/>
          <w:sz w:val="20"/>
          <w:szCs w:val="20"/>
        </w:rPr>
        <w:t>from</w:t>
      </w:r>
      <w:r w:rsidRPr="001A5200">
        <w:rPr>
          <w:rFonts w:asciiTheme="majorBidi" w:hAnsiTheme="majorBidi" w:cstheme="majorBidi"/>
          <w:sz w:val="20"/>
          <w:szCs w:val="20"/>
        </w:rPr>
        <w:t xml:space="preserve"> the American Heart Association, Circulation, 141: e139–e596.</w:t>
      </w:r>
    </w:p>
    <w:p w14:paraId="1668D46E" w14:textId="11740DE4" w:rsidR="005D22C8" w:rsidRPr="001A5200" w:rsidRDefault="00471663" w:rsidP="000E6E03">
      <w:pPr>
        <w:numPr>
          <w:ilvl w:val="0"/>
          <w:numId w:val="18"/>
        </w:numPr>
        <w:bidi w:val="0"/>
        <w:spacing w:after="0" w:line="240" w:lineRule="auto"/>
        <w:ind w:left="360" w:hanging="270"/>
        <w:jc w:val="both"/>
        <w:rPr>
          <w:rFonts w:asciiTheme="majorBidi" w:eastAsia="Calibri" w:hAnsiTheme="majorBidi" w:cstheme="majorBidi"/>
          <w:sz w:val="20"/>
          <w:szCs w:val="20"/>
          <w:lang w:bidi="ar-EG"/>
        </w:rPr>
      </w:pPr>
      <w:r w:rsidRPr="001A5200">
        <w:rPr>
          <w:rFonts w:asciiTheme="majorBidi" w:hAnsiTheme="majorBidi" w:cstheme="majorBidi"/>
          <w:sz w:val="20"/>
          <w:szCs w:val="20"/>
        </w:rPr>
        <w:t xml:space="preserve">A. V. </w:t>
      </w:r>
      <w:proofErr w:type="spellStart"/>
      <w:r w:rsidRPr="001A5200">
        <w:rPr>
          <w:rFonts w:asciiTheme="majorBidi" w:hAnsiTheme="majorBidi" w:cstheme="majorBidi"/>
          <w:sz w:val="20"/>
          <w:szCs w:val="20"/>
        </w:rPr>
        <w:t>Zhelankin</w:t>
      </w:r>
      <w:proofErr w:type="spellEnd"/>
      <w:r w:rsidRPr="001A5200">
        <w:rPr>
          <w:rFonts w:asciiTheme="majorBidi" w:hAnsiTheme="majorBidi" w:cstheme="majorBidi"/>
          <w:sz w:val="20"/>
          <w:szCs w:val="20"/>
        </w:rPr>
        <w:t xml:space="preserve">, D. A. </w:t>
      </w:r>
      <w:proofErr w:type="spellStart"/>
      <w:r w:rsidRPr="001A5200">
        <w:rPr>
          <w:rFonts w:asciiTheme="majorBidi" w:hAnsiTheme="majorBidi" w:cstheme="majorBidi"/>
          <w:sz w:val="20"/>
          <w:szCs w:val="20"/>
        </w:rPr>
        <w:t>Stonogina</w:t>
      </w:r>
      <w:proofErr w:type="spellEnd"/>
      <w:r w:rsidRPr="001A5200">
        <w:rPr>
          <w:rFonts w:asciiTheme="majorBidi" w:hAnsiTheme="majorBidi" w:cstheme="majorBidi"/>
          <w:sz w:val="20"/>
          <w:szCs w:val="20"/>
        </w:rPr>
        <w:t xml:space="preserve">, S. V. Vasiliev, K. A. </w:t>
      </w:r>
      <w:proofErr w:type="spellStart"/>
      <w:r w:rsidRPr="001A5200">
        <w:rPr>
          <w:rFonts w:asciiTheme="majorBidi" w:hAnsiTheme="majorBidi" w:cstheme="majorBidi"/>
          <w:sz w:val="20"/>
          <w:szCs w:val="20"/>
        </w:rPr>
        <w:t>Babalyan</w:t>
      </w:r>
      <w:proofErr w:type="spellEnd"/>
      <w:r w:rsidRPr="001A5200">
        <w:rPr>
          <w:rFonts w:asciiTheme="majorBidi" w:hAnsiTheme="majorBidi" w:cstheme="majorBidi"/>
          <w:sz w:val="20"/>
          <w:szCs w:val="20"/>
        </w:rPr>
        <w:t xml:space="preserve">, E. I. Sharova, Y. V. </w:t>
      </w:r>
      <w:proofErr w:type="spellStart"/>
      <w:r w:rsidRPr="001A5200">
        <w:rPr>
          <w:rFonts w:asciiTheme="majorBidi" w:hAnsiTheme="majorBidi" w:cstheme="majorBidi"/>
          <w:sz w:val="20"/>
          <w:szCs w:val="20"/>
        </w:rPr>
        <w:t>Doludin</w:t>
      </w:r>
      <w:proofErr w:type="spellEnd"/>
      <w:r w:rsidRPr="001A5200">
        <w:rPr>
          <w:rFonts w:asciiTheme="majorBidi" w:hAnsiTheme="majorBidi" w:cstheme="majorBidi"/>
          <w:sz w:val="20"/>
          <w:szCs w:val="20"/>
        </w:rPr>
        <w:t xml:space="preserve">, D.Y. Shchekochikhin, E. V. </w:t>
      </w:r>
      <w:proofErr w:type="spellStart"/>
      <w:r w:rsidRPr="001A5200">
        <w:rPr>
          <w:rFonts w:asciiTheme="majorBidi" w:hAnsiTheme="majorBidi" w:cstheme="majorBidi"/>
          <w:sz w:val="20"/>
          <w:szCs w:val="20"/>
        </w:rPr>
        <w:t>Generozov</w:t>
      </w:r>
      <w:proofErr w:type="spellEnd"/>
      <w:r w:rsidRPr="001A5200">
        <w:rPr>
          <w:rFonts w:asciiTheme="majorBidi" w:hAnsiTheme="majorBidi" w:cstheme="majorBidi"/>
          <w:sz w:val="20"/>
          <w:szCs w:val="20"/>
        </w:rPr>
        <w:t>, &amp; A. S. Akselrod, (2021): Circulating Extra cellular miRNA Analysis in Patients with Stable CAD and Acute Coronary Syndromes, Biomolecules, 11- 962.</w:t>
      </w:r>
      <w:r w:rsidR="00251B65" w:rsidRPr="001A5200">
        <w:rPr>
          <w:rFonts w:asciiTheme="majorBidi" w:hAnsiTheme="majorBidi" w:cstheme="majorBidi"/>
          <w:sz w:val="20"/>
          <w:szCs w:val="20"/>
        </w:rPr>
        <w:t xml:space="preserve">S. </w:t>
      </w:r>
      <w:r w:rsidR="005D22C8" w:rsidRPr="001A5200">
        <w:rPr>
          <w:rFonts w:asciiTheme="majorBidi" w:hAnsiTheme="majorBidi" w:cstheme="majorBidi"/>
          <w:sz w:val="20"/>
          <w:szCs w:val="20"/>
        </w:rPr>
        <w:t xml:space="preserve">Orme, </w:t>
      </w:r>
      <w:r w:rsidR="00251B65" w:rsidRPr="001A5200">
        <w:rPr>
          <w:rFonts w:asciiTheme="majorBidi" w:hAnsiTheme="majorBidi" w:cstheme="majorBidi"/>
          <w:sz w:val="20"/>
          <w:szCs w:val="20"/>
        </w:rPr>
        <w:t xml:space="preserve">DR. </w:t>
      </w:r>
      <w:r w:rsidR="005D22C8" w:rsidRPr="001A5200">
        <w:rPr>
          <w:rFonts w:asciiTheme="majorBidi" w:hAnsiTheme="majorBidi" w:cstheme="majorBidi"/>
          <w:sz w:val="20"/>
          <w:szCs w:val="20"/>
        </w:rPr>
        <w:t>Cullen,</w:t>
      </w:r>
      <w:r w:rsidR="00251B65" w:rsidRPr="001A5200">
        <w:rPr>
          <w:rFonts w:asciiTheme="majorBidi" w:hAnsiTheme="majorBidi" w:cstheme="majorBidi"/>
          <w:sz w:val="20"/>
          <w:szCs w:val="20"/>
        </w:rPr>
        <w:t xml:space="preserve"> AG.</w:t>
      </w:r>
      <w:r w:rsidR="005D22C8" w:rsidRPr="001A5200">
        <w:rPr>
          <w:rFonts w:asciiTheme="majorBidi" w:hAnsiTheme="majorBidi" w:cstheme="majorBidi"/>
          <w:sz w:val="20"/>
          <w:szCs w:val="20"/>
        </w:rPr>
        <w:t xml:space="preserve"> Messenger</w:t>
      </w:r>
      <w:r w:rsidR="005D22C8" w:rsidRPr="001A5200">
        <w:rPr>
          <w:rFonts w:asciiTheme="majorBidi" w:hAnsiTheme="majorBidi" w:cstheme="majorBidi"/>
          <w:sz w:val="20"/>
          <w:szCs w:val="20"/>
          <w:rtl/>
        </w:rPr>
        <w:t>.</w:t>
      </w:r>
      <w:r w:rsidR="005D22C8" w:rsidRPr="001A5200">
        <w:rPr>
          <w:rFonts w:asciiTheme="majorBidi" w:eastAsia="Calibri" w:hAnsiTheme="majorBidi" w:cstheme="majorBidi"/>
          <w:sz w:val="20"/>
          <w:szCs w:val="20"/>
          <w:lang w:bidi="ar-EG"/>
        </w:rPr>
        <w:t xml:space="preserve"> Diffuse female hair loss: are androge</w:t>
      </w:r>
      <w:r w:rsidR="00670F85" w:rsidRPr="001A5200">
        <w:rPr>
          <w:rFonts w:asciiTheme="majorBidi" w:eastAsia="Calibri" w:hAnsiTheme="majorBidi" w:cstheme="majorBidi"/>
          <w:sz w:val="20"/>
          <w:szCs w:val="20"/>
          <w:lang w:bidi="ar-EG"/>
        </w:rPr>
        <w:t xml:space="preserve">ns necessary? Br J </w:t>
      </w:r>
      <w:r w:rsidR="0048381B" w:rsidRPr="001A5200">
        <w:rPr>
          <w:rFonts w:asciiTheme="majorBidi" w:eastAsia="Calibri" w:hAnsiTheme="majorBidi" w:cstheme="majorBidi"/>
          <w:sz w:val="20"/>
          <w:szCs w:val="20"/>
          <w:lang w:bidi="ar-EG"/>
        </w:rPr>
        <w:t>Dermatol.</w:t>
      </w:r>
      <w:r w:rsidR="00670F85" w:rsidRPr="001A5200">
        <w:rPr>
          <w:rFonts w:asciiTheme="majorBidi" w:eastAsia="Calibri" w:hAnsiTheme="majorBidi" w:cstheme="majorBidi"/>
          <w:sz w:val="20"/>
          <w:szCs w:val="20"/>
          <w:lang w:bidi="ar-EG"/>
        </w:rPr>
        <w:t>vol.</w:t>
      </w:r>
      <w:r w:rsidR="0048381B" w:rsidRPr="001A5200">
        <w:rPr>
          <w:rFonts w:asciiTheme="majorBidi" w:eastAsia="Calibri" w:hAnsiTheme="majorBidi" w:cstheme="majorBidi"/>
          <w:sz w:val="20"/>
          <w:szCs w:val="20"/>
          <w:lang w:bidi="ar-EG"/>
        </w:rPr>
        <w:t>141, pp.</w:t>
      </w:r>
      <w:r w:rsidR="005D22C8" w:rsidRPr="001A5200">
        <w:rPr>
          <w:rFonts w:asciiTheme="majorBidi" w:eastAsia="Calibri" w:hAnsiTheme="majorBidi" w:cstheme="majorBidi"/>
          <w:sz w:val="20"/>
          <w:szCs w:val="20"/>
          <w:lang w:bidi="ar-EG"/>
        </w:rPr>
        <w:t>521–523</w:t>
      </w:r>
      <w:r w:rsidR="005D22C8" w:rsidRPr="001A5200">
        <w:rPr>
          <w:rFonts w:asciiTheme="majorBidi" w:eastAsia="Calibri" w:hAnsiTheme="majorBidi" w:cstheme="majorBidi"/>
          <w:sz w:val="20"/>
          <w:szCs w:val="20"/>
          <w:rtl/>
          <w:lang w:bidi="ar-EG"/>
        </w:rPr>
        <w:t>.</w:t>
      </w:r>
      <w:r w:rsidR="00251B65" w:rsidRPr="001A5200">
        <w:rPr>
          <w:rFonts w:asciiTheme="majorBidi" w:hAnsiTheme="majorBidi" w:cstheme="majorBidi"/>
          <w:sz w:val="20"/>
          <w:szCs w:val="20"/>
        </w:rPr>
        <w:t xml:space="preserve"> ,1999.</w:t>
      </w:r>
    </w:p>
    <w:p w14:paraId="27871E23" w14:textId="77777777" w:rsidR="003B461E" w:rsidRPr="001A5200" w:rsidRDefault="0048381B" w:rsidP="000E6E03">
      <w:pPr>
        <w:numPr>
          <w:ilvl w:val="0"/>
          <w:numId w:val="18"/>
        </w:numPr>
        <w:bidi w:val="0"/>
        <w:spacing w:after="0" w:line="240" w:lineRule="auto"/>
        <w:ind w:left="360" w:hanging="270"/>
        <w:jc w:val="both"/>
        <w:rPr>
          <w:rFonts w:asciiTheme="majorBidi" w:eastAsia="Calibri" w:hAnsiTheme="majorBidi" w:cstheme="majorBidi"/>
          <w:sz w:val="20"/>
          <w:szCs w:val="20"/>
          <w:lang w:bidi="ar-EG"/>
        </w:rPr>
      </w:pPr>
      <w:r w:rsidRPr="001A5200">
        <w:rPr>
          <w:rFonts w:asciiTheme="majorBidi" w:hAnsiTheme="majorBidi" w:cstheme="majorBidi"/>
          <w:sz w:val="20"/>
          <w:szCs w:val="20"/>
        </w:rPr>
        <w:t xml:space="preserve">F. </w:t>
      </w:r>
      <w:proofErr w:type="spellStart"/>
      <w:r w:rsidRPr="001A5200">
        <w:rPr>
          <w:rFonts w:asciiTheme="majorBidi" w:hAnsiTheme="majorBidi" w:cstheme="majorBidi"/>
          <w:sz w:val="20"/>
          <w:szCs w:val="20"/>
        </w:rPr>
        <w:t>Crea</w:t>
      </w:r>
      <w:proofErr w:type="spellEnd"/>
      <w:r w:rsidRPr="001A5200">
        <w:rPr>
          <w:rFonts w:asciiTheme="majorBidi" w:hAnsiTheme="majorBidi" w:cstheme="majorBidi"/>
          <w:sz w:val="20"/>
          <w:szCs w:val="20"/>
        </w:rPr>
        <w:t xml:space="preserve">, &amp; </w:t>
      </w:r>
      <w:proofErr w:type="spellStart"/>
      <w:proofErr w:type="gramStart"/>
      <w:r w:rsidRPr="001A5200">
        <w:rPr>
          <w:rFonts w:asciiTheme="majorBidi" w:hAnsiTheme="majorBidi" w:cstheme="majorBidi"/>
          <w:sz w:val="20"/>
          <w:szCs w:val="20"/>
        </w:rPr>
        <w:t>P.Libby</w:t>
      </w:r>
      <w:proofErr w:type="spellEnd"/>
      <w:proofErr w:type="gramEnd"/>
      <w:r w:rsidRPr="001A5200">
        <w:rPr>
          <w:rFonts w:asciiTheme="majorBidi" w:hAnsiTheme="majorBidi" w:cstheme="majorBidi"/>
          <w:sz w:val="20"/>
          <w:szCs w:val="20"/>
        </w:rPr>
        <w:t>, (2017): Acute coronary syndromes: the way forward from mechanisms to precision treatment, Circulation, 136(12):1155–66.</w:t>
      </w:r>
    </w:p>
    <w:p w14:paraId="498B43CF" w14:textId="1A5D3F9F" w:rsidR="005D22C8" w:rsidRPr="001A5200" w:rsidRDefault="00BE69D6" w:rsidP="000E6E03">
      <w:pPr>
        <w:numPr>
          <w:ilvl w:val="0"/>
          <w:numId w:val="18"/>
        </w:numPr>
        <w:bidi w:val="0"/>
        <w:spacing w:after="0" w:line="240" w:lineRule="auto"/>
        <w:ind w:left="360" w:hanging="270"/>
        <w:jc w:val="both"/>
        <w:rPr>
          <w:rFonts w:asciiTheme="majorBidi" w:eastAsia="Calibri" w:hAnsiTheme="majorBidi" w:cstheme="majorBidi"/>
          <w:sz w:val="20"/>
          <w:szCs w:val="20"/>
          <w:lang w:bidi="ar-EG"/>
        </w:rPr>
      </w:pPr>
      <w:r w:rsidRPr="001A5200">
        <w:rPr>
          <w:rFonts w:asciiTheme="majorBidi" w:hAnsiTheme="majorBidi" w:cstheme="majorBidi"/>
          <w:sz w:val="20"/>
          <w:szCs w:val="20"/>
        </w:rPr>
        <w:t xml:space="preserve">A. J. Scheen, (2018): From atherosclerosis to atherothrombosis: from a silent chronic pathology to </w:t>
      </w:r>
      <w:r w:rsidRPr="001A5200">
        <w:rPr>
          <w:rFonts w:asciiTheme="majorBidi" w:hAnsiTheme="majorBidi" w:cstheme="majorBidi"/>
          <w:sz w:val="20"/>
          <w:szCs w:val="20"/>
        </w:rPr>
        <w:t>an acute critical event, Rev Med Liege.,73(5-6):224-228.</w:t>
      </w:r>
      <w:r w:rsidR="00251B65" w:rsidRPr="001A5200">
        <w:rPr>
          <w:rFonts w:asciiTheme="majorBidi" w:hAnsiTheme="majorBidi" w:cstheme="majorBidi"/>
          <w:sz w:val="20"/>
          <w:szCs w:val="20"/>
        </w:rPr>
        <w:t xml:space="preserve">EK. </w:t>
      </w:r>
      <w:r w:rsidR="005D22C8" w:rsidRPr="001A5200">
        <w:rPr>
          <w:rFonts w:asciiTheme="majorBidi" w:hAnsiTheme="majorBidi" w:cstheme="majorBidi"/>
          <w:sz w:val="20"/>
          <w:szCs w:val="20"/>
        </w:rPr>
        <w:t xml:space="preserve">Bayne, </w:t>
      </w:r>
      <w:r w:rsidR="00251B65" w:rsidRPr="001A5200">
        <w:rPr>
          <w:rFonts w:asciiTheme="majorBidi" w:hAnsiTheme="majorBidi" w:cstheme="majorBidi"/>
          <w:sz w:val="20"/>
          <w:szCs w:val="20"/>
        </w:rPr>
        <w:t xml:space="preserve">J. </w:t>
      </w:r>
      <w:r w:rsidR="005D22C8" w:rsidRPr="001A5200">
        <w:rPr>
          <w:rFonts w:asciiTheme="majorBidi" w:hAnsiTheme="majorBidi" w:cstheme="majorBidi"/>
          <w:sz w:val="20"/>
          <w:szCs w:val="20"/>
        </w:rPr>
        <w:t>Flanagan,</w:t>
      </w:r>
      <w:r w:rsidR="00251B65" w:rsidRPr="001A5200">
        <w:rPr>
          <w:rFonts w:asciiTheme="majorBidi" w:hAnsiTheme="majorBidi" w:cstheme="majorBidi"/>
          <w:sz w:val="20"/>
          <w:szCs w:val="20"/>
        </w:rPr>
        <w:t xml:space="preserve"> M.</w:t>
      </w:r>
      <w:r w:rsidR="005D22C8" w:rsidRPr="001A5200">
        <w:rPr>
          <w:rFonts w:asciiTheme="majorBidi" w:hAnsiTheme="majorBidi" w:cstheme="majorBidi"/>
          <w:sz w:val="20"/>
          <w:szCs w:val="20"/>
        </w:rPr>
        <w:t xml:space="preserve"> Einstein, </w:t>
      </w:r>
      <w:r w:rsidR="00251B65" w:rsidRPr="001A5200">
        <w:rPr>
          <w:rFonts w:asciiTheme="majorBidi" w:hAnsiTheme="majorBidi" w:cstheme="majorBidi"/>
          <w:sz w:val="20"/>
          <w:szCs w:val="20"/>
        </w:rPr>
        <w:t xml:space="preserve">J. </w:t>
      </w:r>
      <w:r w:rsidR="005D22C8" w:rsidRPr="001A5200">
        <w:rPr>
          <w:rFonts w:asciiTheme="majorBidi" w:hAnsiTheme="majorBidi" w:cstheme="majorBidi"/>
          <w:sz w:val="20"/>
          <w:szCs w:val="20"/>
        </w:rPr>
        <w:t xml:space="preserve">Ayala, </w:t>
      </w:r>
      <w:r w:rsidR="00251B65" w:rsidRPr="001A5200">
        <w:rPr>
          <w:rFonts w:asciiTheme="majorBidi" w:hAnsiTheme="majorBidi" w:cstheme="majorBidi"/>
          <w:sz w:val="20"/>
          <w:szCs w:val="20"/>
        </w:rPr>
        <w:t xml:space="preserve">B. </w:t>
      </w:r>
      <w:r w:rsidR="005D22C8" w:rsidRPr="001A5200">
        <w:rPr>
          <w:rFonts w:asciiTheme="majorBidi" w:hAnsiTheme="majorBidi" w:cstheme="majorBidi"/>
          <w:sz w:val="20"/>
          <w:szCs w:val="20"/>
        </w:rPr>
        <w:t xml:space="preserve">Chang, </w:t>
      </w:r>
      <w:r w:rsidR="00251B65" w:rsidRPr="001A5200">
        <w:rPr>
          <w:rFonts w:asciiTheme="majorBidi" w:hAnsiTheme="majorBidi" w:cstheme="majorBidi"/>
          <w:sz w:val="20"/>
          <w:szCs w:val="20"/>
        </w:rPr>
        <w:t xml:space="preserve">B. </w:t>
      </w:r>
      <w:r w:rsidR="005D22C8" w:rsidRPr="001A5200">
        <w:rPr>
          <w:rFonts w:asciiTheme="majorBidi" w:hAnsiTheme="majorBidi" w:cstheme="majorBidi"/>
          <w:sz w:val="20"/>
          <w:szCs w:val="20"/>
        </w:rPr>
        <w:t xml:space="preserve">Azzolina, </w:t>
      </w:r>
      <w:r w:rsidR="00251B65" w:rsidRPr="001A5200">
        <w:rPr>
          <w:rFonts w:asciiTheme="majorBidi" w:hAnsiTheme="majorBidi" w:cstheme="majorBidi"/>
          <w:sz w:val="20"/>
          <w:szCs w:val="20"/>
        </w:rPr>
        <w:t xml:space="preserve">DA. </w:t>
      </w:r>
      <w:r w:rsidR="005D22C8" w:rsidRPr="001A5200">
        <w:rPr>
          <w:rFonts w:asciiTheme="majorBidi" w:hAnsiTheme="majorBidi" w:cstheme="majorBidi"/>
          <w:sz w:val="20"/>
          <w:szCs w:val="20"/>
        </w:rPr>
        <w:t xml:space="preserve">Whiting, </w:t>
      </w:r>
      <w:r w:rsidR="00251B65" w:rsidRPr="001A5200">
        <w:rPr>
          <w:rFonts w:asciiTheme="majorBidi" w:hAnsiTheme="majorBidi" w:cstheme="majorBidi"/>
          <w:sz w:val="20"/>
          <w:szCs w:val="20"/>
        </w:rPr>
        <w:t xml:space="preserve">RA. </w:t>
      </w:r>
      <w:r w:rsidR="005D22C8" w:rsidRPr="001A5200">
        <w:rPr>
          <w:rFonts w:asciiTheme="majorBidi" w:hAnsiTheme="majorBidi" w:cstheme="majorBidi"/>
          <w:sz w:val="20"/>
          <w:szCs w:val="20"/>
        </w:rPr>
        <w:t xml:space="preserve">Mumford, </w:t>
      </w:r>
      <w:r w:rsidR="00251B65" w:rsidRPr="001A5200">
        <w:rPr>
          <w:rFonts w:asciiTheme="majorBidi" w:hAnsiTheme="majorBidi" w:cstheme="majorBidi"/>
          <w:sz w:val="20"/>
          <w:szCs w:val="20"/>
        </w:rPr>
        <w:t xml:space="preserve">D. </w:t>
      </w:r>
      <w:r w:rsidR="005D22C8" w:rsidRPr="001A5200">
        <w:rPr>
          <w:rFonts w:asciiTheme="majorBidi" w:hAnsiTheme="majorBidi" w:cstheme="majorBidi"/>
          <w:sz w:val="20"/>
          <w:szCs w:val="20"/>
        </w:rPr>
        <w:t xml:space="preserve">Thiboutot, </w:t>
      </w:r>
      <w:r w:rsidR="00251B65" w:rsidRPr="001A5200">
        <w:rPr>
          <w:rFonts w:asciiTheme="majorBidi" w:hAnsiTheme="majorBidi" w:cstheme="majorBidi"/>
          <w:sz w:val="20"/>
          <w:szCs w:val="20"/>
        </w:rPr>
        <w:t xml:space="preserve">II. </w:t>
      </w:r>
      <w:r w:rsidR="005D22C8" w:rsidRPr="001A5200">
        <w:rPr>
          <w:rFonts w:asciiTheme="majorBidi" w:hAnsiTheme="majorBidi" w:cstheme="majorBidi"/>
          <w:sz w:val="20"/>
          <w:szCs w:val="20"/>
        </w:rPr>
        <w:t xml:space="preserve">Singer, </w:t>
      </w:r>
      <w:r w:rsidR="00251B65" w:rsidRPr="001A5200">
        <w:rPr>
          <w:rFonts w:asciiTheme="majorBidi" w:hAnsiTheme="majorBidi" w:cstheme="majorBidi"/>
          <w:sz w:val="20"/>
          <w:szCs w:val="20"/>
        </w:rPr>
        <w:t xml:space="preserve">G. </w:t>
      </w:r>
      <w:r w:rsidR="00856BFF" w:rsidRPr="001A5200">
        <w:rPr>
          <w:rFonts w:asciiTheme="majorBidi" w:hAnsiTheme="majorBidi" w:cstheme="majorBidi"/>
          <w:sz w:val="20"/>
          <w:szCs w:val="20"/>
        </w:rPr>
        <w:t xml:space="preserve">Harris </w:t>
      </w:r>
      <w:r w:rsidR="00856BFF" w:rsidRPr="001A5200">
        <w:rPr>
          <w:rFonts w:asciiTheme="majorBidi" w:eastAsia="Calibri" w:hAnsiTheme="majorBidi" w:cstheme="majorBidi"/>
          <w:sz w:val="20"/>
          <w:szCs w:val="20"/>
          <w:lang w:bidi="ar-EG"/>
        </w:rPr>
        <w:t>Immunohistochemical</w:t>
      </w:r>
      <w:r w:rsidR="005D22C8" w:rsidRPr="001A5200">
        <w:rPr>
          <w:rFonts w:asciiTheme="majorBidi" w:eastAsia="Calibri" w:hAnsiTheme="majorBidi" w:cstheme="majorBidi"/>
          <w:sz w:val="20"/>
          <w:szCs w:val="20"/>
          <w:lang w:bidi="ar-EG"/>
        </w:rPr>
        <w:t xml:space="preserve"> localization of types 1 and 2 5alpha-reductase in</w:t>
      </w:r>
      <w:r w:rsidR="00670F85" w:rsidRPr="001A5200">
        <w:rPr>
          <w:rFonts w:asciiTheme="majorBidi" w:eastAsia="Calibri" w:hAnsiTheme="majorBidi" w:cstheme="majorBidi"/>
          <w:sz w:val="20"/>
          <w:szCs w:val="20"/>
          <w:lang w:bidi="ar-EG"/>
        </w:rPr>
        <w:t xml:space="preserve"> human scalp. Br J </w:t>
      </w:r>
      <w:r w:rsidR="00856BFF" w:rsidRPr="001A5200">
        <w:rPr>
          <w:rFonts w:asciiTheme="majorBidi" w:eastAsia="Calibri" w:hAnsiTheme="majorBidi" w:cstheme="majorBidi"/>
          <w:sz w:val="20"/>
          <w:szCs w:val="20"/>
          <w:lang w:bidi="ar-EG"/>
        </w:rPr>
        <w:t>Dermatol.</w:t>
      </w:r>
      <w:r w:rsidR="00670F85" w:rsidRPr="001A5200">
        <w:rPr>
          <w:rFonts w:asciiTheme="majorBidi" w:eastAsia="Calibri" w:hAnsiTheme="majorBidi" w:cstheme="majorBidi"/>
          <w:sz w:val="20"/>
          <w:szCs w:val="20"/>
          <w:lang w:bidi="ar-EG"/>
        </w:rPr>
        <w:t>vol.</w:t>
      </w:r>
      <w:r w:rsidR="00856BFF" w:rsidRPr="001A5200">
        <w:rPr>
          <w:rFonts w:asciiTheme="majorBidi" w:eastAsia="Calibri" w:hAnsiTheme="majorBidi" w:cstheme="majorBidi"/>
          <w:sz w:val="20"/>
          <w:szCs w:val="20"/>
          <w:lang w:bidi="ar-EG"/>
        </w:rPr>
        <w:t>141, pp.</w:t>
      </w:r>
      <w:r w:rsidR="005D22C8" w:rsidRPr="001A5200">
        <w:rPr>
          <w:rFonts w:asciiTheme="majorBidi" w:eastAsia="Calibri" w:hAnsiTheme="majorBidi" w:cstheme="majorBidi"/>
          <w:sz w:val="20"/>
          <w:szCs w:val="20"/>
          <w:lang w:bidi="ar-EG"/>
        </w:rPr>
        <w:t>481–491</w:t>
      </w:r>
      <w:r w:rsidR="005D22C8" w:rsidRPr="001A5200">
        <w:rPr>
          <w:rFonts w:asciiTheme="majorBidi" w:eastAsia="Calibri" w:hAnsiTheme="majorBidi" w:cstheme="majorBidi"/>
          <w:sz w:val="20"/>
          <w:szCs w:val="20"/>
          <w:rtl/>
          <w:lang w:bidi="ar-EG"/>
        </w:rPr>
        <w:t>.</w:t>
      </w:r>
      <w:r w:rsidR="00251B65" w:rsidRPr="001A5200">
        <w:rPr>
          <w:rFonts w:asciiTheme="majorBidi" w:hAnsiTheme="majorBidi" w:cstheme="majorBidi"/>
          <w:sz w:val="20"/>
          <w:szCs w:val="20"/>
        </w:rPr>
        <w:t xml:space="preserve"> </w:t>
      </w:r>
      <w:r w:rsidR="00670F85" w:rsidRPr="001A5200">
        <w:rPr>
          <w:rFonts w:asciiTheme="majorBidi" w:hAnsiTheme="majorBidi" w:cstheme="majorBidi"/>
          <w:sz w:val="20"/>
          <w:szCs w:val="20"/>
        </w:rPr>
        <w:t>,1999</w:t>
      </w:r>
      <w:r w:rsidR="00251B65" w:rsidRPr="001A5200">
        <w:rPr>
          <w:rFonts w:asciiTheme="majorBidi" w:hAnsiTheme="majorBidi" w:cstheme="majorBidi"/>
          <w:sz w:val="20"/>
          <w:szCs w:val="20"/>
          <w:rtl/>
        </w:rPr>
        <w:t>.</w:t>
      </w:r>
    </w:p>
    <w:p w14:paraId="1DD606F0" w14:textId="77777777" w:rsidR="004E533C" w:rsidRPr="001A5200" w:rsidRDefault="00985C71" w:rsidP="000E6E03">
      <w:pPr>
        <w:numPr>
          <w:ilvl w:val="0"/>
          <w:numId w:val="18"/>
        </w:numPr>
        <w:bidi w:val="0"/>
        <w:spacing w:after="0" w:line="240" w:lineRule="auto"/>
        <w:ind w:left="360" w:hanging="270"/>
        <w:jc w:val="both"/>
        <w:rPr>
          <w:rFonts w:asciiTheme="majorBidi" w:eastAsia="Calibri" w:hAnsiTheme="majorBidi" w:cstheme="majorBidi"/>
          <w:sz w:val="20"/>
          <w:szCs w:val="20"/>
          <w:lang w:bidi="ar-EG"/>
        </w:rPr>
      </w:pPr>
      <w:r w:rsidRPr="001A5200">
        <w:rPr>
          <w:rFonts w:asciiTheme="majorBidi" w:hAnsiTheme="majorBidi" w:cstheme="majorBidi"/>
          <w:sz w:val="20"/>
          <w:szCs w:val="20"/>
        </w:rPr>
        <w:t xml:space="preserve">A. Bracey, &amp; H.P. Meyers, (2020): Posterior Myocardial Ischemia </w:t>
      </w:r>
      <w:proofErr w:type="spellStart"/>
      <w:r w:rsidRPr="001A5200">
        <w:rPr>
          <w:rFonts w:asciiTheme="majorBidi" w:hAnsiTheme="majorBidi" w:cstheme="majorBidi"/>
          <w:sz w:val="20"/>
          <w:szCs w:val="20"/>
        </w:rPr>
        <w:t>StatPearls</w:t>
      </w:r>
      <w:proofErr w:type="spellEnd"/>
      <w:r w:rsidRPr="001A5200">
        <w:rPr>
          <w:rFonts w:asciiTheme="majorBidi" w:hAnsiTheme="majorBidi" w:cstheme="majorBidi"/>
          <w:sz w:val="20"/>
          <w:szCs w:val="20"/>
        </w:rPr>
        <w:t xml:space="preserve"> Publishing, Treasure Island (FL), PMID: 30860754.</w:t>
      </w:r>
    </w:p>
    <w:p w14:paraId="090F1BC0" w14:textId="245B20CF" w:rsidR="005D22C8" w:rsidRPr="001A5200" w:rsidRDefault="005B3823" w:rsidP="000E6E03">
      <w:pPr>
        <w:numPr>
          <w:ilvl w:val="0"/>
          <w:numId w:val="18"/>
        </w:numPr>
        <w:bidi w:val="0"/>
        <w:spacing w:after="0" w:line="240" w:lineRule="auto"/>
        <w:ind w:left="360" w:hanging="270"/>
        <w:jc w:val="both"/>
        <w:rPr>
          <w:rFonts w:asciiTheme="majorBidi" w:eastAsia="Calibri" w:hAnsiTheme="majorBidi" w:cstheme="majorBidi"/>
          <w:sz w:val="20"/>
          <w:szCs w:val="20"/>
          <w:lang w:bidi="ar-EG"/>
        </w:rPr>
      </w:pPr>
      <w:r w:rsidRPr="001A5200">
        <w:rPr>
          <w:rFonts w:asciiTheme="majorBidi" w:hAnsiTheme="majorBidi" w:cstheme="majorBidi"/>
          <w:sz w:val="20"/>
          <w:szCs w:val="20"/>
        </w:rPr>
        <w:t xml:space="preserve">P. </w:t>
      </w:r>
      <w:proofErr w:type="spellStart"/>
      <w:r w:rsidRPr="001A5200">
        <w:rPr>
          <w:rFonts w:asciiTheme="majorBidi" w:hAnsiTheme="majorBidi" w:cstheme="majorBidi"/>
          <w:sz w:val="20"/>
          <w:szCs w:val="20"/>
        </w:rPr>
        <w:t>Jarolim</w:t>
      </w:r>
      <w:proofErr w:type="spellEnd"/>
      <w:r w:rsidRPr="001A5200">
        <w:rPr>
          <w:rFonts w:asciiTheme="majorBidi" w:hAnsiTheme="majorBidi" w:cstheme="majorBidi"/>
          <w:sz w:val="20"/>
          <w:szCs w:val="20"/>
        </w:rPr>
        <w:t>, (2014): Overview of Cardiac Markers in Heart Disease, Clin Lab Med, 34(1): 1-</w:t>
      </w:r>
      <w:proofErr w:type="gramStart"/>
      <w:r w:rsidRPr="001A5200">
        <w:rPr>
          <w:rFonts w:asciiTheme="majorBidi" w:hAnsiTheme="majorBidi" w:cstheme="majorBidi"/>
          <w:sz w:val="20"/>
          <w:szCs w:val="20"/>
        </w:rPr>
        <w:t>14.</w:t>
      </w:r>
      <w:r w:rsidR="00251B65" w:rsidRPr="001A5200">
        <w:rPr>
          <w:rFonts w:asciiTheme="majorBidi" w:hAnsiTheme="majorBidi" w:cstheme="majorBidi"/>
          <w:sz w:val="20"/>
          <w:szCs w:val="20"/>
        </w:rPr>
        <w:t>S.</w:t>
      </w:r>
      <w:proofErr w:type="gramEnd"/>
      <w:r w:rsidR="00251B65" w:rsidRPr="001A5200">
        <w:rPr>
          <w:rFonts w:asciiTheme="majorBidi" w:hAnsiTheme="majorBidi" w:cstheme="majorBidi"/>
          <w:sz w:val="20"/>
          <w:szCs w:val="20"/>
        </w:rPr>
        <w:t xml:space="preserve"> </w:t>
      </w:r>
      <w:r w:rsidR="005D22C8" w:rsidRPr="001A5200">
        <w:rPr>
          <w:rFonts w:asciiTheme="majorBidi" w:hAnsiTheme="majorBidi" w:cstheme="majorBidi"/>
          <w:sz w:val="20"/>
          <w:szCs w:val="20"/>
        </w:rPr>
        <w:t xml:space="preserve">Inui, </w:t>
      </w:r>
      <w:r w:rsidR="00251B65" w:rsidRPr="001A5200">
        <w:rPr>
          <w:rFonts w:asciiTheme="majorBidi" w:hAnsiTheme="majorBidi" w:cstheme="majorBidi"/>
          <w:sz w:val="20"/>
          <w:szCs w:val="20"/>
        </w:rPr>
        <w:t xml:space="preserve">S. </w:t>
      </w:r>
      <w:r w:rsidR="005D22C8" w:rsidRPr="001A5200">
        <w:rPr>
          <w:rFonts w:asciiTheme="majorBidi" w:hAnsiTheme="majorBidi" w:cstheme="majorBidi"/>
          <w:sz w:val="20"/>
          <w:szCs w:val="20"/>
        </w:rPr>
        <w:t xml:space="preserve">Itami </w:t>
      </w:r>
      <w:r w:rsidR="005D22C8" w:rsidRPr="001A5200">
        <w:rPr>
          <w:rFonts w:asciiTheme="majorBidi" w:eastAsia="Calibri" w:hAnsiTheme="majorBidi" w:cstheme="majorBidi"/>
          <w:sz w:val="20"/>
          <w:szCs w:val="20"/>
          <w:lang w:bidi="ar-EG"/>
        </w:rPr>
        <w:t xml:space="preserve"> Androgen actions on the human hair follicle: perspectives. Exp </w:t>
      </w:r>
      <w:proofErr w:type="gramStart"/>
      <w:r w:rsidR="005D22C8" w:rsidRPr="001A5200">
        <w:rPr>
          <w:rFonts w:asciiTheme="majorBidi" w:eastAsia="Calibri" w:hAnsiTheme="majorBidi" w:cstheme="majorBidi"/>
          <w:sz w:val="20"/>
          <w:szCs w:val="20"/>
          <w:lang w:bidi="ar-EG"/>
        </w:rPr>
        <w:t xml:space="preserve">Dermatol </w:t>
      </w:r>
      <w:r w:rsidR="00670F85" w:rsidRPr="001A5200">
        <w:rPr>
          <w:rFonts w:asciiTheme="majorBidi" w:eastAsia="Calibri" w:hAnsiTheme="majorBidi" w:cstheme="majorBidi"/>
          <w:sz w:val="20"/>
          <w:szCs w:val="20"/>
          <w:lang w:bidi="ar-EG"/>
        </w:rPr>
        <w:t>.</w:t>
      </w:r>
      <w:proofErr w:type="gramEnd"/>
      <w:r w:rsidR="00670F85" w:rsidRPr="001A5200">
        <w:rPr>
          <w:rFonts w:asciiTheme="majorBidi" w:eastAsia="Calibri" w:hAnsiTheme="majorBidi" w:cstheme="majorBidi"/>
          <w:sz w:val="20"/>
          <w:szCs w:val="20"/>
          <w:lang w:bidi="ar-EG"/>
        </w:rPr>
        <w:t>vol.22,pp.168–171,</w:t>
      </w:r>
      <w:r w:rsidR="00670F85" w:rsidRPr="001A5200">
        <w:rPr>
          <w:rFonts w:asciiTheme="majorBidi" w:hAnsiTheme="majorBidi" w:cstheme="majorBidi"/>
          <w:sz w:val="20"/>
          <w:szCs w:val="20"/>
        </w:rPr>
        <w:t>2013</w:t>
      </w:r>
      <w:r w:rsidR="00251B65" w:rsidRPr="001A5200">
        <w:rPr>
          <w:rFonts w:asciiTheme="majorBidi" w:hAnsiTheme="majorBidi" w:cstheme="majorBidi"/>
          <w:sz w:val="20"/>
          <w:szCs w:val="20"/>
        </w:rPr>
        <w:t>.</w:t>
      </w:r>
    </w:p>
    <w:p w14:paraId="085DDC77" w14:textId="4D33F356" w:rsidR="005D22C8" w:rsidRPr="001A5200" w:rsidRDefault="00237639" w:rsidP="000E6E03">
      <w:pPr>
        <w:numPr>
          <w:ilvl w:val="0"/>
          <w:numId w:val="18"/>
        </w:numPr>
        <w:bidi w:val="0"/>
        <w:spacing w:after="0" w:line="240" w:lineRule="auto"/>
        <w:ind w:left="360" w:hanging="270"/>
        <w:jc w:val="both"/>
        <w:rPr>
          <w:rFonts w:asciiTheme="majorBidi" w:eastAsia="Calibri" w:hAnsiTheme="majorBidi" w:cstheme="majorBidi"/>
          <w:sz w:val="20"/>
          <w:szCs w:val="20"/>
          <w:lang w:bidi="ar-EG"/>
        </w:rPr>
      </w:pPr>
      <w:r w:rsidRPr="001A5200">
        <w:rPr>
          <w:rFonts w:asciiTheme="majorBidi" w:hAnsiTheme="majorBidi" w:cstheme="majorBidi"/>
          <w:sz w:val="20"/>
          <w:szCs w:val="20"/>
        </w:rPr>
        <w:t xml:space="preserve">R. Bai, Q. Yang, </w:t>
      </w:r>
      <w:proofErr w:type="gramStart"/>
      <w:r w:rsidRPr="001A5200">
        <w:rPr>
          <w:rFonts w:asciiTheme="majorBidi" w:hAnsiTheme="majorBidi" w:cstheme="majorBidi"/>
          <w:sz w:val="20"/>
          <w:szCs w:val="20"/>
        </w:rPr>
        <w:t>R .</w:t>
      </w:r>
      <w:proofErr w:type="gramEnd"/>
      <w:r w:rsidRPr="001A5200">
        <w:rPr>
          <w:rFonts w:asciiTheme="majorBidi" w:hAnsiTheme="majorBidi" w:cstheme="majorBidi"/>
          <w:sz w:val="20"/>
          <w:szCs w:val="20"/>
        </w:rPr>
        <w:t xml:space="preserve"> Xi, L. Li, D. Shi, &amp; K. Chen, (2017): miR-941 as a promising biomarker for acute coronary syndrome, BMC Cardiovascular Disorders, 17:</w:t>
      </w:r>
      <w:proofErr w:type="gramStart"/>
      <w:r w:rsidRPr="001A5200">
        <w:rPr>
          <w:rFonts w:asciiTheme="majorBidi" w:hAnsiTheme="majorBidi" w:cstheme="majorBidi"/>
          <w:sz w:val="20"/>
          <w:szCs w:val="20"/>
        </w:rPr>
        <w:t>227.</w:t>
      </w:r>
      <w:r w:rsidR="005D22C8" w:rsidRPr="001A5200">
        <w:rPr>
          <w:rFonts w:asciiTheme="majorBidi" w:hAnsiTheme="majorBidi" w:cstheme="majorBidi"/>
          <w:sz w:val="20"/>
          <w:szCs w:val="20"/>
        </w:rPr>
        <w:t>O.</w:t>
      </w:r>
      <w:proofErr w:type="gramEnd"/>
      <w:r w:rsidR="005D22C8" w:rsidRPr="001A5200">
        <w:rPr>
          <w:rFonts w:asciiTheme="majorBidi" w:hAnsiTheme="majorBidi" w:cstheme="majorBidi"/>
          <w:sz w:val="20"/>
          <w:szCs w:val="20"/>
        </w:rPr>
        <w:t xml:space="preserve"> T. Norwood</w:t>
      </w:r>
      <w:r w:rsidR="005D22C8" w:rsidRPr="001A5200">
        <w:rPr>
          <w:rFonts w:asciiTheme="majorBidi" w:eastAsia="Calibri" w:hAnsiTheme="majorBidi" w:cstheme="majorBidi"/>
          <w:sz w:val="20"/>
          <w:szCs w:val="20"/>
          <w:shd w:val="clear" w:color="auto" w:fill="FCFCFC"/>
        </w:rPr>
        <w:t> </w:t>
      </w:r>
      <w:r w:rsidR="005D22C8" w:rsidRPr="001A5200">
        <w:rPr>
          <w:rFonts w:asciiTheme="majorBidi" w:eastAsia="Calibri" w:hAnsiTheme="majorBidi" w:cstheme="majorBidi"/>
          <w:sz w:val="20"/>
          <w:szCs w:val="20"/>
          <w:lang w:bidi="ar-EG"/>
        </w:rPr>
        <w:t>Dermatol. Surg.</w:t>
      </w:r>
      <w:r w:rsidR="00251B65" w:rsidRPr="001A5200">
        <w:rPr>
          <w:rFonts w:asciiTheme="majorBidi" w:eastAsia="Calibri" w:hAnsiTheme="majorBidi" w:cstheme="majorBidi"/>
          <w:sz w:val="20"/>
          <w:szCs w:val="20"/>
          <w:lang w:bidi="ar-EG"/>
        </w:rPr>
        <w:t xml:space="preserve"> </w:t>
      </w:r>
      <w:r w:rsidR="00670F85" w:rsidRPr="001A5200">
        <w:rPr>
          <w:rFonts w:asciiTheme="majorBidi" w:eastAsia="Calibri" w:hAnsiTheme="majorBidi" w:cstheme="majorBidi"/>
          <w:sz w:val="20"/>
          <w:szCs w:val="20"/>
          <w:lang w:bidi="ar-EG"/>
        </w:rPr>
        <w:t>Vol.</w:t>
      </w:r>
      <w:proofErr w:type="gramStart"/>
      <w:r w:rsidR="005D22C8" w:rsidRPr="001A5200">
        <w:rPr>
          <w:rFonts w:asciiTheme="majorBidi" w:eastAsia="Calibri" w:hAnsiTheme="majorBidi" w:cstheme="majorBidi"/>
          <w:sz w:val="20"/>
          <w:szCs w:val="20"/>
          <w:lang w:bidi="ar-EG"/>
        </w:rPr>
        <w:t>27,</w:t>
      </w:r>
      <w:r w:rsidR="00670F85" w:rsidRPr="001A5200">
        <w:rPr>
          <w:rFonts w:asciiTheme="majorBidi" w:eastAsia="Calibri" w:hAnsiTheme="majorBidi" w:cstheme="majorBidi"/>
          <w:sz w:val="20"/>
          <w:szCs w:val="20"/>
          <w:lang w:bidi="ar-EG"/>
        </w:rPr>
        <w:t>pp.</w:t>
      </w:r>
      <w:proofErr w:type="gramEnd"/>
      <w:r w:rsidR="005D22C8" w:rsidRPr="001A5200">
        <w:rPr>
          <w:rFonts w:asciiTheme="majorBidi" w:eastAsia="Calibri" w:hAnsiTheme="majorBidi" w:cstheme="majorBidi"/>
          <w:sz w:val="20"/>
          <w:szCs w:val="20"/>
          <w:lang w:bidi="ar-EG"/>
        </w:rPr>
        <w:t> 53</w:t>
      </w:r>
      <w:r w:rsidR="00670F85" w:rsidRPr="001A5200">
        <w:rPr>
          <w:rFonts w:asciiTheme="majorBidi" w:eastAsia="Calibri" w:hAnsiTheme="majorBidi" w:cstheme="majorBidi"/>
          <w:sz w:val="20"/>
          <w:szCs w:val="20"/>
          <w:lang w:bidi="ar-EG"/>
        </w:rPr>
        <w:t>,</w:t>
      </w:r>
      <w:r w:rsidR="00670F85" w:rsidRPr="001A5200">
        <w:rPr>
          <w:rFonts w:asciiTheme="majorBidi" w:hAnsiTheme="majorBidi" w:cstheme="majorBidi"/>
          <w:sz w:val="20"/>
          <w:szCs w:val="20"/>
        </w:rPr>
        <w:t>2001</w:t>
      </w:r>
      <w:r w:rsidR="00251B65" w:rsidRPr="001A5200">
        <w:rPr>
          <w:rFonts w:asciiTheme="majorBidi" w:hAnsiTheme="majorBidi" w:cstheme="majorBidi"/>
          <w:sz w:val="20"/>
          <w:szCs w:val="20"/>
        </w:rPr>
        <w:t>.</w:t>
      </w:r>
    </w:p>
    <w:p w14:paraId="13DF6965" w14:textId="22AEE59B" w:rsidR="005D22C8" w:rsidRPr="001A5200" w:rsidRDefault="00F4607D" w:rsidP="000E6E03">
      <w:pPr>
        <w:numPr>
          <w:ilvl w:val="0"/>
          <w:numId w:val="18"/>
        </w:numPr>
        <w:bidi w:val="0"/>
        <w:spacing w:after="0" w:line="240" w:lineRule="auto"/>
        <w:ind w:left="360" w:hanging="270"/>
        <w:jc w:val="both"/>
        <w:rPr>
          <w:rFonts w:asciiTheme="majorBidi" w:eastAsia="Calibri" w:hAnsiTheme="majorBidi" w:cstheme="majorBidi"/>
          <w:sz w:val="20"/>
          <w:szCs w:val="20"/>
          <w:lang w:bidi="ar-EG"/>
        </w:rPr>
      </w:pPr>
      <w:r w:rsidRPr="001A5200">
        <w:rPr>
          <w:rFonts w:asciiTheme="majorBidi" w:hAnsiTheme="majorBidi" w:cstheme="majorBidi"/>
          <w:sz w:val="20"/>
          <w:szCs w:val="20"/>
        </w:rPr>
        <w:t>H. A. Çakmak, &amp; M. Demir, (2020): MicroRNA and Cardiovascular Diseases, Balkan Med. J., 37: 60–71.</w:t>
      </w:r>
    </w:p>
    <w:p w14:paraId="62BAB4C9" w14:textId="6321ABE5" w:rsidR="002B37C9" w:rsidRPr="001A5200" w:rsidRDefault="00B57387" w:rsidP="000E6E03">
      <w:pPr>
        <w:numPr>
          <w:ilvl w:val="0"/>
          <w:numId w:val="18"/>
        </w:numPr>
        <w:bidi w:val="0"/>
        <w:spacing w:after="0" w:line="240" w:lineRule="auto"/>
        <w:ind w:left="360" w:hanging="270"/>
        <w:jc w:val="both"/>
        <w:rPr>
          <w:rFonts w:asciiTheme="majorBidi" w:eastAsia="Calibri" w:hAnsiTheme="majorBidi" w:cstheme="majorBidi"/>
          <w:sz w:val="20"/>
          <w:szCs w:val="20"/>
          <w:lang w:bidi="ar-EG"/>
        </w:rPr>
      </w:pPr>
      <w:r w:rsidRPr="001A5200">
        <w:rPr>
          <w:rFonts w:asciiTheme="majorBidi" w:hAnsiTheme="majorBidi" w:cstheme="majorBidi"/>
          <w:sz w:val="20"/>
          <w:szCs w:val="20"/>
        </w:rPr>
        <w:t xml:space="preserve">D. M. Tanase, E. M. </w:t>
      </w:r>
      <w:proofErr w:type="spellStart"/>
      <w:r w:rsidRPr="001A5200">
        <w:rPr>
          <w:rFonts w:asciiTheme="majorBidi" w:hAnsiTheme="majorBidi" w:cstheme="majorBidi"/>
          <w:sz w:val="20"/>
          <w:szCs w:val="20"/>
        </w:rPr>
        <w:t>Gosav</w:t>
      </w:r>
      <w:proofErr w:type="spellEnd"/>
      <w:r w:rsidRPr="001A5200">
        <w:rPr>
          <w:rFonts w:asciiTheme="majorBidi" w:hAnsiTheme="majorBidi" w:cstheme="majorBidi"/>
          <w:sz w:val="20"/>
          <w:szCs w:val="20"/>
        </w:rPr>
        <w:t xml:space="preserve">, A. </w:t>
      </w:r>
      <w:proofErr w:type="spellStart"/>
      <w:r w:rsidRPr="001A5200">
        <w:rPr>
          <w:rFonts w:asciiTheme="majorBidi" w:hAnsiTheme="majorBidi" w:cstheme="majorBidi"/>
          <w:sz w:val="20"/>
          <w:szCs w:val="20"/>
        </w:rPr>
        <w:t>Ouatu</w:t>
      </w:r>
      <w:proofErr w:type="spellEnd"/>
      <w:r w:rsidRPr="001A5200">
        <w:rPr>
          <w:rFonts w:asciiTheme="majorBidi" w:hAnsiTheme="majorBidi" w:cstheme="majorBidi"/>
          <w:sz w:val="20"/>
          <w:szCs w:val="20"/>
        </w:rPr>
        <w:t xml:space="preserve">, M. C. Badescu, N. Dima, A. R. </w:t>
      </w:r>
      <w:proofErr w:type="spellStart"/>
      <w:r w:rsidRPr="001A5200">
        <w:rPr>
          <w:rFonts w:asciiTheme="majorBidi" w:hAnsiTheme="majorBidi" w:cstheme="majorBidi"/>
          <w:sz w:val="20"/>
          <w:szCs w:val="20"/>
        </w:rPr>
        <w:t>Ganceanu</w:t>
      </w:r>
      <w:proofErr w:type="spellEnd"/>
      <w:r w:rsidRPr="001A5200">
        <w:rPr>
          <w:rFonts w:asciiTheme="majorBidi" w:hAnsiTheme="majorBidi" w:cstheme="majorBidi"/>
          <w:sz w:val="20"/>
          <w:szCs w:val="20"/>
        </w:rPr>
        <w:t xml:space="preserve">-Rusu, D. Popescu, M. Floria, E. </w:t>
      </w:r>
      <w:proofErr w:type="spellStart"/>
      <w:r w:rsidRPr="001A5200">
        <w:rPr>
          <w:rFonts w:asciiTheme="majorBidi" w:hAnsiTheme="majorBidi" w:cstheme="majorBidi"/>
          <w:sz w:val="20"/>
          <w:szCs w:val="20"/>
        </w:rPr>
        <w:t>Rezus</w:t>
      </w:r>
      <w:proofErr w:type="spellEnd"/>
      <w:r w:rsidRPr="001A5200">
        <w:rPr>
          <w:rFonts w:asciiTheme="majorBidi" w:hAnsiTheme="majorBidi" w:cstheme="majorBidi"/>
          <w:sz w:val="20"/>
          <w:szCs w:val="20"/>
        </w:rPr>
        <w:t xml:space="preserve">, &amp; C. </w:t>
      </w:r>
      <w:proofErr w:type="spellStart"/>
      <w:r w:rsidRPr="001A5200">
        <w:rPr>
          <w:rFonts w:asciiTheme="majorBidi" w:hAnsiTheme="majorBidi" w:cstheme="majorBidi"/>
          <w:sz w:val="20"/>
          <w:szCs w:val="20"/>
        </w:rPr>
        <w:t>Rezus</w:t>
      </w:r>
      <w:proofErr w:type="spellEnd"/>
      <w:r w:rsidRPr="001A5200">
        <w:rPr>
          <w:rFonts w:asciiTheme="majorBidi" w:hAnsiTheme="majorBidi" w:cstheme="majorBidi"/>
          <w:sz w:val="20"/>
          <w:szCs w:val="20"/>
        </w:rPr>
        <w:t>, (2021): Current Knowledge of MicroRNAs (miRNAs) in Acute Coronary Syndrome (ACS): ST- Elevation Myocardial Infarction (STEMI), Life, 11, 1057.</w:t>
      </w:r>
    </w:p>
    <w:p w14:paraId="4989E38A" w14:textId="284ECC32" w:rsidR="002B37C9" w:rsidRPr="001A5200" w:rsidRDefault="00FE6635" w:rsidP="000E6E03">
      <w:pPr>
        <w:numPr>
          <w:ilvl w:val="0"/>
          <w:numId w:val="18"/>
        </w:numPr>
        <w:bidi w:val="0"/>
        <w:spacing w:after="0" w:line="240" w:lineRule="auto"/>
        <w:ind w:left="360" w:hanging="270"/>
        <w:jc w:val="both"/>
        <w:rPr>
          <w:rFonts w:asciiTheme="majorBidi" w:hAnsiTheme="majorBidi" w:cstheme="majorBidi"/>
          <w:sz w:val="20"/>
          <w:szCs w:val="20"/>
        </w:rPr>
      </w:pPr>
      <w:r w:rsidRPr="001A5200">
        <w:rPr>
          <w:rFonts w:asciiTheme="majorBidi" w:hAnsiTheme="majorBidi" w:cstheme="majorBidi"/>
          <w:sz w:val="20"/>
          <w:szCs w:val="20"/>
        </w:rPr>
        <w:t xml:space="preserve">D. A. </w:t>
      </w:r>
      <w:proofErr w:type="spellStart"/>
      <w:r w:rsidR="002B37C9" w:rsidRPr="001A5200">
        <w:rPr>
          <w:rFonts w:asciiTheme="majorBidi" w:hAnsiTheme="majorBidi" w:cstheme="majorBidi"/>
          <w:sz w:val="20"/>
          <w:szCs w:val="20"/>
        </w:rPr>
        <w:t>Chistiakov</w:t>
      </w:r>
      <w:proofErr w:type="spellEnd"/>
      <w:r w:rsidR="002B37C9" w:rsidRPr="001A5200">
        <w:rPr>
          <w:rFonts w:asciiTheme="majorBidi" w:hAnsiTheme="majorBidi" w:cstheme="majorBidi"/>
          <w:sz w:val="20"/>
          <w:szCs w:val="20"/>
        </w:rPr>
        <w:t xml:space="preserve">, </w:t>
      </w:r>
      <w:r w:rsidRPr="001A5200">
        <w:rPr>
          <w:rFonts w:asciiTheme="majorBidi" w:hAnsiTheme="majorBidi" w:cstheme="majorBidi"/>
          <w:sz w:val="20"/>
          <w:szCs w:val="20"/>
        </w:rPr>
        <w:t xml:space="preserve">A. N. </w:t>
      </w:r>
      <w:r w:rsidR="002B37C9" w:rsidRPr="001A5200">
        <w:rPr>
          <w:rFonts w:asciiTheme="majorBidi" w:hAnsiTheme="majorBidi" w:cstheme="majorBidi"/>
          <w:sz w:val="20"/>
          <w:szCs w:val="20"/>
        </w:rPr>
        <w:t xml:space="preserve">Orekhov, &amp; </w:t>
      </w:r>
      <w:r w:rsidRPr="001A5200">
        <w:rPr>
          <w:rFonts w:asciiTheme="majorBidi" w:hAnsiTheme="majorBidi" w:cstheme="majorBidi"/>
          <w:sz w:val="20"/>
          <w:szCs w:val="20"/>
        </w:rPr>
        <w:t xml:space="preserve">Y. V. </w:t>
      </w:r>
      <w:proofErr w:type="spellStart"/>
      <w:r w:rsidR="002B37C9" w:rsidRPr="001A5200">
        <w:rPr>
          <w:rFonts w:asciiTheme="majorBidi" w:hAnsiTheme="majorBidi" w:cstheme="majorBidi"/>
          <w:sz w:val="20"/>
          <w:szCs w:val="20"/>
        </w:rPr>
        <w:t>Bobryshev</w:t>
      </w:r>
      <w:proofErr w:type="spellEnd"/>
      <w:r w:rsidR="002B37C9" w:rsidRPr="001A5200">
        <w:rPr>
          <w:rFonts w:asciiTheme="majorBidi" w:hAnsiTheme="majorBidi" w:cstheme="majorBidi"/>
          <w:sz w:val="20"/>
          <w:szCs w:val="20"/>
        </w:rPr>
        <w:t>, (2016): J. Mol</w:t>
      </w:r>
      <w:r w:rsidR="002B37C9" w:rsidRPr="001A5200">
        <w:rPr>
          <w:rFonts w:asciiTheme="majorBidi" w:hAnsiTheme="majorBidi" w:cstheme="majorBidi"/>
          <w:sz w:val="20"/>
          <w:szCs w:val="20"/>
          <w:rtl/>
        </w:rPr>
        <w:t>.</w:t>
      </w:r>
      <w:r w:rsidR="00E64D30" w:rsidRPr="001A5200">
        <w:rPr>
          <w:rFonts w:asciiTheme="majorBidi" w:hAnsiTheme="majorBidi" w:cstheme="majorBidi"/>
          <w:sz w:val="20"/>
          <w:szCs w:val="20"/>
        </w:rPr>
        <w:t xml:space="preserve"> Cell, </w:t>
      </w:r>
      <w:proofErr w:type="spellStart"/>
      <w:r w:rsidR="00E64D30" w:rsidRPr="001A5200">
        <w:rPr>
          <w:rFonts w:asciiTheme="majorBidi" w:hAnsiTheme="majorBidi" w:cstheme="majorBidi"/>
          <w:sz w:val="20"/>
          <w:szCs w:val="20"/>
        </w:rPr>
        <w:t>Cardiol</w:t>
      </w:r>
      <w:proofErr w:type="spellEnd"/>
      <w:r w:rsidR="00E64D30" w:rsidRPr="001A5200">
        <w:rPr>
          <w:rFonts w:asciiTheme="majorBidi" w:hAnsiTheme="majorBidi" w:cstheme="majorBidi"/>
          <w:sz w:val="20"/>
          <w:szCs w:val="20"/>
        </w:rPr>
        <w:t>., 94: 107–121</w:t>
      </w:r>
      <w:r w:rsidR="00892702" w:rsidRPr="001A5200">
        <w:rPr>
          <w:rFonts w:asciiTheme="majorBidi" w:hAnsiTheme="majorBidi" w:cstheme="majorBidi"/>
          <w:sz w:val="20"/>
          <w:szCs w:val="20"/>
        </w:rPr>
        <w:t>.</w:t>
      </w:r>
    </w:p>
    <w:p w14:paraId="59C894A1" w14:textId="70AD2D66" w:rsidR="00B82FF8" w:rsidRPr="001A5200" w:rsidRDefault="006D6266" w:rsidP="000E6E03">
      <w:pPr>
        <w:pStyle w:val="ListParagraph"/>
        <w:numPr>
          <w:ilvl w:val="0"/>
          <w:numId w:val="18"/>
        </w:numPr>
        <w:bidi w:val="0"/>
        <w:spacing w:after="0" w:line="240" w:lineRule="auto"/>
        <w:ind w:left="360" w:hanging="270"/>
        <w:contextualSpacing w:val="0"/>
        <w:jc w:val="both"/>
        <w:rPr>
          <w:rFonts w:asciiTheme="majorBidi" w:hAnsiTheme="majorBidi" w:cstheme="majorBidi"/>
          <w:sz w:val="20"/>
          <w:szCs w:val="20"/>
        </w:rPr>
      </w:pPr>
      <w:r w:rsidRPr="001A5200">
        <w:rPr>
          <w:rFonts w:asciiTheme="majorBidi" w:hAnsiTheme="majorBidi" w:cstheme="majorBidi"/>
          <w:sz w:val="20"/>
          <w:szCs w:val="20"/>
        </w:rPr>
        <w:t xml:space="preserve">A. Kaur, S. T. Mackin, K. Schlosser, F. L. Wong, M. </w:t>
      </w:r>
      <w:proofErr w:type="spellStart"/>
      <w:r w:rsidRPr="001A5200">
        <w:rPr>
          <w:rFonts w:asciiTheme="majorBidi" w:hAnsiTheme="majorBidi" w:cstheme="majorBidi"/>
          <w:sz w:val="20"/>
          <w:szCs w:val="20"/>
        </w:rPr>
        <w:t>Elharram</w:t>
      </w:r>
      <w:proofErr w:type="spellEnd"/>
      <w:r w:rsidRPr="001A5200">
        <w:rPr>
          <w:rFonts w:asciiTheme="majorBidi" w:hAnsiTheme="majorBidi" w:cstheme="majorBidi"/>
          <w:sz w:val="20"/>
          <w:szCs w:val="20"/>
        </w:rPr>
        <w:t xml:space="preserve">, C. Delles, D. J. Stewart, N. Dayan, T. Landry, &amp; L. </w:t>
      </w:r>
      <w:proofErr w:type="spellStart"/>
      <w:r w:rsidRPr="001A5200">
        <w:rPr>
          <w:rFonts w:asciiTheme="majorBidi" w:hAnsiTheme="majorBidi" w:cstheme="majorBidi"/>
          <w:sz w:val="20"/>
          <w:szCs w:val="20"/>
        </w:rPr>
        <w:t>Pilote</w:t>
      </w:r>
      <w:proofErr w:type="spellEnd"/>
      <w:r w:rsidRPr="001A5200">
        <w:rPr>
          <w:rFonts w:asciiTheme="majorBidi" w:hAnsiTheme="majorBidi" w:cstheme="majorBidi"/>
          <w:sz w:val="20"/>
          <w:szCs w:val="20"/>
        </w:rPr>
        <w:t>, (2020): Systematic Review of MicroRNA Biomarkers in Acute Coronary Syndrome and Stable Coronary Artery Disease, Cardiovasc, Res., 116: 1113–1124</w:t>
      </w:r>
      <w:r w:rsidRPr="001A5200">
        <w:rPr>
          <w:rFonts w:asciiTheme="majorBidi" w:hAnsiTheme="majorBidi" w:cstheme="majorBidi"/>
          <w:sz w:val="20"/>
          <w:szCs w:val="20"/>
          <w:rtl/>
        </w:rPr>
        <w:t>.</w:t>
      </w:r>
    </w:p>
    <w:p w14:paraId="75A1F464" w14:textId="123047D6" w:rsidR="006E5F6C" w:rsidRPr="001A5200" w:rsidRDefault="006E5F6C" w:rsidP="000E6E03">
      <w:pPr>
        <w:pStyle w:val="ListParagraph"/>
        <w:numPr>
          <w:ilvl w:val="0"/>
          <w:numId w:val="18"/>
        </w:numPr>
        <w:bidi w:val="0"/>
        <w:spacing w:after="0" w:line="240" w:lineRule="auto"/>
        <w:ind w:left="360" w:hanging="270"/>
        <w:contextualSpacing w:val="0"/>
        <w:jc w:val="both"/>
        <w:rPr>
          <w:rFonts w:asciiTheme="majorBidi" w:hAnsiTheme="majorBidi" w:cstheme="majorBidi"/>
          <w:sz w:val="20"/>
          <w:szCs w:val="20"/>
        </w:rPr>
      </w:pPr>
      <w:r w:rsidRPr="001A5200">
        <w:rPr>
          <w:rFonts w:asciiTheme="majorBidi" w:hAnsiTheme="majorBidi" w:cstheme="majorBidi"/>
          <w:sz w:val="20"/>
          <w:szCs w:val="20"/>
        </w:rPr>
        <w:t>G. K. Lee, Y. P. Hsieh, S. W. Hsu&amp; S. J. Lan, (2021): Exploring diagnostic and prognostic predictive values of microRNAs for acute myocardial infarction A PRISMA-compliant systematic review and meta-analysis, Medicine (Baltimore), 100(29): e26627.</w:t>
      </w:r>
    </w:p>
    <w:p w14:paraId="3CC83CCB" w14:textId="3A0D8D9B" w:rsidR="00735FF1" w:rsidRPr="001A5200" w:rsidRDefault="00735FF1" w:rsidP="000E6E03">
      <w:pPr>
        <w:pStyle w:val="ListParagraph"/>
        <w:numPr>
          <w:ilvl w:val="0"/>
          <w:numId w:val="18"/>
        </w:numPr>
        <w:bidi w:val="0"/>
        <w:spacing w:after="0" w:line="240" w:lineRule="auto"/>
        <w:ind w:left="360" w:hanging="270"/>
        <w:contextualSpacing w:val="0"/>
        <w:jc w:val="both"/>
        <w:rPr>
          <w:rFonts w:asciiTheme="majorBidi" w:hAnsiTheme="majorBidi" w:cstheme="majorBidi"/>
          <w:sz w:val="20"/>
          <w:szCs w:val="20"/>
        </w:rPr>
      </w:pPr>
      <w:r w:rsidRPr="001A5200">
        <w:rPr>
          <w:rFonts w:asciiTheme="majorBidi" w:hAnsiTheme="majorBidi" w:cstheme="majorBidi"/>
          <w:sz w:val="20"/>
          <w:szCs w:val="20"/>
        </w:rPr>
        <w:t>X. Liu, Z. Fan, T. Zhao, W. Cao, L. Zhang, H. Li, Q. Xie, Y. Tian, &amp; B. Wang, (2015): Plasma miR-1, miR-208, miR-499 as potential predictive biomarkers for acute myocardial infarction: An independent study of Han population, Exp Gerontol.,72:230-8.</w:t>
      </w:r>
    </w:p>
    <w:p w14:paraId="34E1D41A" w14:textId="7D99A181" w:rsidR="00735FF1" w:rsidRPr="001A5200" w:rsidRDefault="00735FF1" w:rsidP="000E6E03">
      <w:pPr>
        <w:pStyle w:val="ListParagraph"/>
        <w:numPr>
          <w:ilvl w:val="0"/>
          <w:numId w:val="18"/>
        </w:numPr>
        <w:bidi w:val="0"/>
        <w:spacing w:after="0" w:line="240" w:lineRule="auto"/>
        <w:ind w:left="360" w:hanging="270"/>
        <w:contextualSpacing w:val="0"/>
        <w:jc w:val="both"/>
        <w:rPr>
          <w:rFonts w:asciiTheme="majorBidi" w:hAnsiTheme="majorBidi" w:cstheme="majorBidi"/>
          <w:sz w:val="20"/>
          <w:szCs w:val="20"/>
        </w:rPr>
      </w:pPr>
      <w:r w:rsidRPr="001A5200">
        <w:rPr>
          <w:rFonts w:asciiTheme="majorBidi" w:hAnsiTheme="majorBidi" w:cstheme="majorBidi"/>
          <w:sz w:val="20"/>
          <w:szCs w:val="20"/>
        </w:rPr>
        <w:t xml:space="preserve">V. Janika, &amp; T. Thomas, (2017): Circulating Noncoding RNAs as Biomarkers of Cardiovascular Disease and </w:t>
      </w:r>
      <w:proofErr w:type="gramStart"/>
      <w:r w:rsidRPr="001A5200">
        <w:rPr>
          <w:rFonts w:asciiTheme="majorBidi" w:hAnsiTheme="majorBidi" w:cstheme="majorBidi"/>
          <w:sz w:val="20"/>
          <w:szCs w:val="20"/>
        </w:rPr>
        <w:t>Injury,  Circ.</w:t>
      </w:r>
      <w:proofErr w:type="gramEnd"/>
      <w:r w:rsidRPr="001A5200">
        <w:rPr>
          <w:rFonts w:asciiTheme="majorBidi" w:hAnsiTheme="majorBidi" w:cstheme="majorBidi"/>
          <w:sz w:val="20"/>
          <w:szCs w:val="20"/>
        </w:rPr>
        <w:t xml:space="preserve"> Res., 120: 381–399.</w:t>
      </w:r>
    </w:p>
    <w:p w14:paraId="128596BB" w14:textId="155CDD48" w:rsidR="00120D82" w:rsidRPr="001A5200" w:rsidRDefault="00474019" w:rsidP="000E6E03">
      <w:pPr>
        <w:pStyle w:val="ListParagraph"/>
        <w:numPr>
          <w:ilvl w:val="0"/>
          <w:numId w:val="18"/>
        </w:numPr>
        <w:bidi w:val="0"/>
        <w:spacing w:after="0" w:line="240" w:lineRule="auto"/>
        <w:ind w:left="360" w:hanging="270"/>
        <w:contextualSpacing w:val="0"/>
        <w:jc w:val="both"/>
        <w:rPr>
          <w:rFonts w:asciiTheme="majorBidi" w:hAnsiTheme="majorBidi" w:cstheme="majorBidi"/>
          <w:sz w:val="20"/>
          <w:szCs w:val="20"/>
        </w:rPr>
      </w:pPr>
      <w:r w:rsidRPr="001A5200">
        <w:rPr>
          <w:rFonts w:asciiTheme="majorBidi" w:hAnsiTheme="majorBidi" w:cstheme="majorBidi"/>
          <w:sz w:val="20"/>
          <w:szCs w:val="20"/>
        </w:rPr>
        <w:t xml:space="preserve">O. </w:t>
      </w:r>
      <w:proofErr w:type="spellStart"/>
      <w:r w:rsidRPr="001A5200">
        <w:rPr>
          <w:rFonts w:asciiTheme="majorBidi" w:hAnsiTheme="majorBidi" w:cstheme="majorBidi"/>
          <w:sz w:val="20"/>
          <w:szCs w:val="20"/>
        </w:rPr>
        <w:t>Bobusoglu</w:t>
      </w:r>
      <w:proofErr w:type="spellEnd"/>
      <w:r w:rsidRPr="001A5200">
        <w:rPr>
          <w:rFonts w:asciiTheme="majorBidi" w:hAnsiTheme="majorBidi" w:cstheme="majorBidi"/>
          <w:sz w:val="20"/>
          <w:szCs w:val="20"/>
        </w:rPr>
        <w:t xml:space="preserve">, S. Balci, A. Gundes, A. </w:t>
      </w:r>
      <w:proofErr w:type="spellStart"/>
      <w:r w:rsidRPr="001A5200">
        <w:rPr>
          <w:rFonts w:asciiTheme="majorBidi" w:hAnsiTheme="majorBidi" w:cstheme="majorBidi"/>
          <w:sz w:val="20"/>
          <w:szCs w:val="20"/>
        </w:rPr>
        <w:t>Camsari</w:t>
      </w:r>
      <w:proofErr w:type="spellEnd"/>
      <w:r w:rsidRPr="001A5200">
        <w:rPr>
          <w:rFonts w:asciiTheme="majorBidi" w:hAnsiTheme="majorBidi" w:cstheme="majorBidi"/>
          <w:sz w:val="20"/>
          <w:szCs w:val="20"/>
        </w:rPr>
        <w:t xml:space="preserve">, &amp; L. Tamer, (2023). Investigation into miRNA profile in patient groups with and without ST elevation. Turkish Journal of Biochemistry, 48(2), 203-208. </w:t>
      </w:r>
    </w:p>
    <w:p w14:paraId="181425AE" w14:textId="68E0DBCB" w:rsidR="00FB017C" w:rsidRPr="001A5200" w:rsidRDefault="000C423E" w:rsidP="000E6E03">
      <w:pPr>
        <w:pStyle w:val="ListParagraph"/>
        <w:numPr>
          <w:ilvl w:val="0"/>
          <w:numId w:val="18"/>
        </w:numPr>
        <w:bidi w:val="0"/>
        <w:spacing w:after="0" w:line="240" w:lineRule="auto"/>
        <w:ind w:left="360" w:hanging="270"/>
        <w:contextualSpacing w:val="0"/>
        <w:jc w:val="both"/>
        <w:rPr>
          <w:rFonts w:asciiTheme="majorBidi" w:hAnsiTheme="majorBidi" w:cstheme="majorBidi"/>
          <w:sz w:val="20"/>
          <w:szCs w:val="20"/>
        </w:rPr>
      </w:pPr>
      <w:r w:rsidRPr="001A5200">
        <w:rPr>
          <w:rFonts w:asciiTheme="majorBidi" w:hAnsiTheme="majorBidi" w:cstheme="majorBidi"/>
          <w:sz w:val="20"/>
          <w:szCs w:val="20"/>
        </w:rPr>
        <w:t xml:space="preserve">Z. </w:t>
      </w:r>
      <w:r w:rsidR="00FB017C" w:rsidRPr="001A5200">
        <w:rPr>
          <w:rFonts w:asciiTheme="majorBidi" w:hAnsiTheme="majorBidi" w:cstheme="majorBidi"/>
          <w:sz w:val="20"/>
          <w:szCs w:val="20"/>
        </w:rPr>
        <w:t xml:space="preserve">Zhong, </w:t>
      </w:r>
      <w:r w:rsidRPr="001A5200">
        <w:rPr>
          <w:rFonts w:asciiTheme="majorBidi" w:hAnsiTheme="majorBidi" w:cstheme="majorBidi"/>
          <w:sz w:val="20"/>
          <w:szCs w:val="20"/>
        </w:rPr>
        <w:t xml:space="preserve">W. </w:t>
      </w:r>
      <w:r w:rsidR="00FB017C" w:rsidRPr="001A5200">
        <w:rPr>
          <w:rFonts w:asciiTheme="majorBidi" w:hAnsiTheme="majorBidi" w:cstheme="majorBidi"/>
          <w:sz w:val="20"/>
          <w:szCs w:val="20"/>
        </w:rPr>
        <w:t xml:space="preserve">Zhong, </w:t>
      </w:r>
      <w:r w:rsidRPr="001A5200">
        <w:rPr>
          <w:rFonts w:asciiTheme="majorBidi" w:hAnsiTheme="majorBidi" w:cstheme="majorBidi"/>
          <w:sz w:val="20"/>
          <w:szCs w:val="20"/>
        </w:rPr>
        <w:t xml:space="preserve">Q. </w:t>
      </w:r>
      <w:r w:rsidR="00FB017C" w:rsidRPr="001A5200">
        <w:rPr>
          <w:rFonts w:asciiTheme="majorBidi" w:hAnsiTheme="majorBidi" w:cstheme="majorBidi"/>
          <w:sz w:val="20"/>
          <w:szCs w:val="20"/>
        </w:rPr>
        <w:t xml:space="preserve">Zhang, </w:t>
      </w:r>
      <w:r w:rsidRPr="001A5200">
        <w:rPr>
          <w:rFonts w:asciiTheme="majorBidi" w:hAnsiTheme="majorBidi" w:cstheme="majorBidi"/>
          <w:sz w:val="20"/>
          <w:szCs w:val="20"/>
        </w:rPr>
        <w:t xml:space="preserve">Q. </w:t>
      </w:r>
      <w:r w:rsidR="00FB017C" w:rsidRPr="001A5200">
        <w:rPr>
          <w:rFonts w:asciiTheme="majorBidi" w:hAnsiTheme="majorBidi" w:cstheme="majorBidi"/>
          <w:sz w:val="20"/>
          <w:szCs w:val="20"/>
        </w:rPr>
        <w:t xml:space="preserve">Zhang, </w:t>
      </w:r>
      <w:proofErr w:type="spellStart"/>
      <w:proofErr w:type="gramStart"/>
      <w:r w:rsidRPr="001A5200">
        <w:rPr>
          <w:rFonts w:asciiTheme="majorBidi" w:hAnsiTheme="majorBidi" w:cstheme="majorBidi"/>
          <w:sz w:val="20"/>
          <w:szCs w:val="20"/>
        </w:rPr>
        <w:t>Z.</w:t>
      </w:r>
      <w:r w:rsidR="00FB017C" w:rsidRPr="001A5200">
        <w:rPr>
          <w:rFonts w:asciiTheme="majorBidi" w:hAnsiTheme="majorBidi" w:cstheme="majorBidi"/>
          <w:sz w:val="20"/>
          <w:szCs w:val="20"/>
        </w:rPr>
        <w:t>Yu</w:t>
      </w:r>
      <w:proofErr w:type="spellEnd"/>
      <w:proofErr w:type="gramEnd"/>
      <w:r w:rsidR="00FB017C" w:rsidRPr="001A5200">
        <w:rPr>
          <w:rFonts w:asciiTheme="majorBidi" w:hAnsiTheme="majorBidi" w:cstheme="majorBidi"/>
          <w:sz w:val="20"/>
          <w:szCs w:val="20"/>
        </w:rPr>
        <w:t xml:space="preserve">, &amp; </w:t>
      </w:r>
      <w:r w:rsidRPr="001A5200">
        <w:rPr>
          <w:rFonts w:asciiTheme="majorBidi" w:hAnsiTheme="majorBidi" w:cstheme="majorBidi"/>
          <w:sz w:val="20"/>
          <w:szCs w:val="20"/>
        </w:rPr>
        <w:t xml:space="preserve">H. </w:t>
      </w:r>
      <w:r w:rsidR="00FB017C" w:rsidRPr="001A5200">
        <w:rPr>
          <w:rFonts w:asciiTheme="majorBidi" w:hAnsiTheme="majorBidi" w:cstheme="majorBidi"/>
          <w:sz w:val="20"/>
          <w:szCs w:val="20"/>
        </w:rPr>
        <w:t xml:space="preserve">Wu, (2020). Circulating microRNA </w:t>
      </w:r>
      <w:r w:rsidR="00FB017C" w:rsidRPr="001A5200">
        <w:rPr>
          <w:rFonts w:asciiTheme="majorBidi" w:hAnsiTheme="majorBidi" w:cstheme="majorBidi"/>
          <w:sz w:val="20"/>
          <w:szCs w:val="20"/>
        </w:rPr>
        <w:lastRenderedPageBreak/>
        <w:t xml:space="preserve">expression profiling and bioinformatics analysis of patients with coronary artery disease by RNA sequencing. Journal of clinical laboratory analysis, 34(1), e23020. </w:t>
      </w:r>
    </w:p>
    <w:p w14:paraId="2CD5560C" w14:textId="3CE6448E" w:rsidR="00FB017C" w:rsidRPr="001A5200" w:rsidRDefault="0091160B" w:rsidP="000E6E03">
      <w:pPr>
        <w:pStyle w:val="ListParagraph"/>
        <w:numPr>
          <w:ilvl w:val="0"/>
          <w:numId w:val="18"/>
        </w:numPr>
        <w:bidi w:val="0"/>
        <w:spacing w:after="0" w:line="240" w:lineRule="auto"/>
        <w:ind w:left="360" w:hanging="270"/>
        <w:contextualSpacing w:val="0"/>
        <w:jc w:val="both"/>
        <w:rPr>
          <w:rFonts w:asciiTheme="majorBidi" w:hAnsiTheme="majorBidi" w:cstheme="majorBidi"/>
          <w:sz w:val="20"/>
          <w:szCs w:val="20"/>
        </w:rPr>
      </w:pPr>
      <w:r w:rsidRPr="001A5200">
        <w:rPr>
          <w:rFonts w:asciiTheme="majorBidi" w:hAnsiTheme="majorBidi" w:cstheme="majorBidi"/>
          <w:sz w:val="20"/>
          <w:szCs w:val="20"/>
        </w:rPr>
        <w:t xml:space="preserve">L. </w:t>
      </w:r>
      <w:r w:rsidR="00FB017C" w:rsidRPr="001A5200">
        <w:rPr>
          <w:rFonts w:asciiTheme="majorBidi" w:hAnsiTheme="majorBidi" w:cstheme="majorBidi"/>
          <w:sz w:val="20"/>
          <w:szCs w:val="20"/>
        </w:rPr>
        <w:t xml:space="preserve">Xu, </w:t>
      </w:r>
      <w:r w:rsidRPr="001A5200">
        <w:rPr>
          <w:rFonts w:asciiTheme="majorBidi" w:hAnsiTheme="majorBidi" w:cstheme="majorBidi"/>
          <w:sz w:val="20"/>
          <w:szCs w:val="20"/>
        </w:rPr>
        <w:t xml:space="preserve">L. </w:t>
      </w:r>
      <w:r w:rsidR="00FB017C" w:rsidRPr="001A5200">
        <w:rPr>
          <w:rFonts w:asciiTheme="majorBidi" w:hAnsiTheme="majorBidi" w:cstheme="majorBidi"/>
          <w:sz w:val="20"/>
          <w:szCs w:val="20"/>
        </w:rPr>
        <w:t xml:space="preserve">Tian, </w:t>
      </w:r>
      <w:r w:rsidRPr="001A5200">
        <w:rPr>
          <w:rFonts w:asciiTheme="majorBidi" w:hAnsiTheme="majorBidi" w:cstheme="majorBidi"/>
          <w:sz w:val="20"/>
          <w:szCs w:val="20"/>
        </w:rPr>
        <w:t xml:space="preserve">Z. </w:t>
      </w:r>
      <w:r w:rsidR="00FB017C" w:rsidRPr="001A5200">
        <w:rPr>
          <w:rFonts w:asciiTheme="majorBidi" w:hAnsiTheme="majorBidi" w:cstheme="majorBidi"/>
          <w:sz w:val="20"/>
          <w:szCs w:val="20"/>
        </w:rPr>
        <w:t xml:space="preserve">Yan, </w:t>
      </w:r>
      <w:r w:rsidRPr="001A5200">
        <w:rPr>
          <w:rFonts w:asciiTheme="majorBidi" w:hAnsiTheme="majorBidi" w:cstheme="majorBidi"/>
          <w:sz w:val="20"/>
          <w:szCs w:val="20"/>
        </w:rPr>
        <w:t xml:space="preserve">J. </w:t>
      </w:r>
      <w:r w:rsidR="00FB017C" w:rsidRPr="001A5200">
        <w:rPr>
          <w:rFonts w:asciiTheme="majorBidi" w:hAnsiTheme="majorBidi" w:cstheme="majorBidi"/>
          <w:sz w:val="20"/>
          <w:szCs w:val="20"/>
        </w:rPr>
        <w:t xml:space="preserve">Wang, </w:t>
      </w:r>
      <w:r w:rsidRPr="001A5200">
        <w:rPr>
          <w:rFonts w:asciiTheme="majorBidi" w:hAnsiTheme="majorBidi" w:cstheme="majorBidi"/>
          <w:sz w:val="20"/>
          <w:szCs w:val="20"/>
        </w:rPr>
        <w:t xml:space="preserve">T. </w:t>
      </w:r>
      <w:r w:rsidR="00FB017C" w:rsidRPr="001A5200">
        <w:rPr>
          <w:rFonts w:asciiTheme="majorBidi" w:hAnsiTheme="majorBidi" w:cstheme="majorBidi"/>
          <w:sz w:val="20"/>
          <w:szCs w:val="20"/>
        </w:rPr>
        <w:t xml:space="preserve">Xue, &amp; </w:t>
      </w:r>
      <w:r w:rsidRPr="001A5200">
        <w:rPr>
          <w:rFonts w:asciiTheme="majorBidi" w:hAnsiTheme="majorBidi" w:cstheme="majorBidi"/>
          <w:sz w:val="20"/>
          <w:szCs w:val="20"/>
        </w:rPr>
        <w:t xml:space="preserve">Q. </w:t>
      </w:r>
      <w:r w:rsidR="00FB017C" w:rsidRPr="001A5200">
        <w:rPr>
          <w:rFonts w:asciiTheme="majorBidi" w:hAnsiTheme="majorBidi" w:cstheme="majorBidi"/>
          <w:sz w:val="20"/>
          <w:szCs w:val="20"/>
        </w:rPr>
        <w:t xml:space="preserve">Sun (2023). Diagnostic and prognostic value of miR-486-5p, miR-451a, miR-21-5p and monocyte to high-density lipoprotein cholesterol ratio in patients with acute myocardial infarction. Heart and vessels, 38(3), 318–331. </w:t>
      </w:r>
    </w:p>
    <w:p w14:paraId="4D4992AA" w14:textId="4FA0D8F4" w:rsidR="00FB017C" w:rsidRDefault="00C851B5" w:rsidP="000E6E03">
      <w:pPr>
        <w:pStyle w:val="ListParagraph"/>
        <w:numPr>
          <w:ilvl w:val="0"/>
          <w:numId w:val="18"/>
        </w:numPr>
        <w:bidi w:val="0"/>
        <w:spacing w:after="0" w:line="240" w:lineRule="auto"/>
        <w:ind w:left="360" w:hanging="270"/>
        <w:contextualSpacing w:val="0"/>
        <w:jc w:val="both"/>
        <w:rPr>
          <w:rFonts w:asciiTheme="majorBidi" w:hAnsiTheme="majorBidi" w:cstheme="majorBidi"/>
          <w:sz w:val="20"/>
          <w:szCs w:val="20"/>
        </w:rPr>
      </w:pPr>
      <w:r w:rsidRPr="001A5200">
        <w:rPr>
          <w:rFonts w:asciiTheme="majorBidi" w:hAnsiTheme="majorBidi" w:cstheme="majorBidi"/>
          <w:sz w:val="20"/>
          <w:szCs w:val="20"/>
        </w:rPr>
        <w:t xml:space="preserve">I. A. </w:t>
      </w:r>
      <w:proofErr w:type="spellStart"/>
      <w:r w:rsidR="004101B7" w:rsidRPr="001A5200">
        <w:rPr>
          <w:rFonts w:asciiTheme="majorBidi" w:hAnsiTheme="majorBidi" w:cstheme="majorBidi"/>
          <w:sz w:val="20"/>
          <w:szCs w:val="20"/>
        </w:rPr>
        <w:t>Altamemi</w:t>
      </w:r>
      <w:proofErr w:type="spellEnd"/>
      <w:r w:rsidR="004101B7" w:rsidRPr="001A5200">
        <w:rPr>
          <w:rFonts w:asciiTheme="majorBidi" w:hAnsiTheme="majorBidi" w:cstheme="majorBidi"/>
          <w:sz w:val="20"/>
          <w:szCs w:val="20"/>
        </w:rPr>
        <w:t xml:space="preserve">, </w:t>
      </w:r>
      <w:r w:rsidRPr="001A5200">
        <w:rPr>
          <w:rFonts w:asciiTheme="majorBidi" w:hAnsiTheme="majorBidi" w:cstheme="majorBidi"/>
          <w:sz w:val="20"/>
          <w:szCs w:val="20"/>
        </w:rPr>
        <w:t xml:space="preserve">A. R. </w:t>
      </w:r>
      <w:r w:rsidR="004101B7" w:rsidRPr="001A5200">
        <w:rPr>
          <w:rFonts w:asciiTheme="majorBidi" w:hAnsiTheme="majorBidi" w:cstheme="majorBidi"/>
          <w:sz w:val="20"/>
          <w:szCs w:val="20"/>
        </w:rPr>
        <w:t xml:space="preserve">Hassan, &amp; </w:t>
      </w:r>
      <w:r w:rsidRPr="001A5200">
        <w:rPr>
          <w:rFonts w:asciiTheme="majorBidi" w:hAnsiTheme="majorBidi" w:cstheme="majorBidi"/>
          <w:sz w:val="20"/>
          <w:szCs w:val="20"/>
        </w:rPr>
        <w:t xml:space="preserve">A. </w:t>
      </w:r>
      <w:r w:rsidR="004101B7" w:rsidRPr="001A5200">
        <w:rPr>
          <w:rFonts w:asciiTheme="majorBidi" w:hAnsiTheme="majorBidi" w:cstheme="majorBidi"/>
          <w:sz w:val="20"/>
          <w:szCs w:val="20"/>
        </w:rPr>
        <w:t xml:space="preserve">Jawad (2018). miRNA-1, miRNA-145 As A Myocardial Infarction Diagnostic Biomarker. </w:t>
      </w:r>
      <w:proofErr w:type="spellStart"/>
      <w:r w:rsidR="004101B7" w:rsidRPr="001A5200">
        <w:rPr>
          <w:rFonts w:asciiTheme="majorBidi" w:hAnsiTheme="majorBidi" w:cstheme="majorBidi"/>
          <w:sz w:val="20"/>
          <w:szCs w:val="20"/>
        </w:rPr>
        <w:t>Biosci</w:t>
      </w:r>
      <w:proofErr w:type="spellEnd"/>
      <w:r w:rsidR="004101B7" w:rsidRPr="001A5200">
        <w:rPr>
          <w:rFonts w:asciiTheme="majorBidi" w:hAnsiTheme="majorBidi" w:cstheme="majorBidi"/>
          <w:sz w:val="20"/>
          <w:szCs w:val="20"/>
        </w:rPr>
        <w:t xml:space="preserve"> Biotech Res Asia;15(4).</w:t>
      </w:r>
    </w:p>
    <w:p w14:paraId="72648003" w14:textId="5BD2B13C" w:rsidR="004101B7" w:rsidRDefault="005B14B1" w:rsidP="000E6E03">
      <w:pPr>
        <w:pStyle w:val="ListParagraph"/>
        <w:numPr>
          <w:ilvl w:val="0"/>
          <w:numId w:val="18"/>
        </w:numPr>
        <w:bidi w:val="0"/>
        <w:spacing w:after="0" w:line="240" w:lineRule="auto"/>
        <w:ind w:left="360" w:hanging="270"/>
        <w:contextualSpacing w:val="0"/>
        <w:jc w:val="both"/>
        <w:rPr>
          <w:rFonts w:asciiTheme="majorBidi" w:hAnsiTheme="majorBidi" w:cstheme="majorBidi"/>
          <w:sz w:val="20"/>
          <w:szCs w:val="20"/>
        </w:rPr>
      </w:pPr>
      <w:r w:rsidRPr="001A5200">
        <w:rPr>
          <w:rFonts w:asciiTheme="majorBidi" w:hAnsiTheme="majorBidi" w:cstheme="majorBidi"/>
          <w:sz w:val="20"/>
          <w:szCs w:val="20"/>
        </w:rPr>
        <w:t xml:space="preserve">S. </w:t>
      </w:r>
      <w:r w:rsidR="004101B7" w:rsidRPr="001A5200">
        <w:rPr>
          <w:rFonts w:asciiTheme="majorBidi" w:hAnsiTheme="majorBidi" w:cstheme="majorBidi"/>
          <w:sz w:val="20"/>
          <w:szCs w:val="20"/>
        </w:rPr>
        <w:t xml:space="preserve">Liu, </w:t>
      </w:r>
      <w:r w:rsidRPr="001A5200">
        <w:rPr>
          <w:rFonts w:asciiTheme="majorBidi" w:hAnsiTheme="majorBidi" w:cstheme="majorBidi"/>
          <w:sz w:val="20"/>
          <w:szCs w:val="20"/>
        </w:rPr>
        <w:t xml:space="preserve">X. </w:t>
      </w:r>
      <w:r w:rsidR="004101B7" w:rsidRPr="001A5200">
        <w:rPr>
          <w:rFonts w:asciiTheme="majorBidi" w:hAnsiTheme="majorBidi" w:cstheme="majorBidi"/>
          <w:sz w:val="20"/>
          <w:szCs w:val="20"/>
        </w:rPr>
        <w:t xml:space="preserve">Guo, </w:t>
      </w:r>
      <w:r w:rsidRPr="001A5200">
        <w:rPr>
          <w:rFonts w:asciiTheme="majorBidi" w:hAnsiTheme="majorBidi" w:cstheme="majorBidi"/>
          <w:sz w:val="20"/>
          <w:szCs w:val="20"/>
        </w:rPr>
        <w:t xml:space="preserve">W. </w:t>
      </w:r>
      <w:r w:rsidR="004101B7" w:rsidRPr="001A5200">
        <w:rPr>
          <w:rFonts w:asciiTheme="majorBidi" w:hAnsiTheme="majorBidi" w:cstheme="majorBidi"/>
          <w:sz w:val="20"/>
          <w:szCs w:val="20"/>
        </w:rPr>
        <w:t xml:space="preserve">Zhong, </w:t>
      </w:r>
      <w:r w:rsidRPr="001A5200">
        <w:rPr>
          <w:rFonts w:asciiTheme="majorBidi" w:hAnsiTheme="majorBidi" w:cstheme="majorBidi"/>
          <w:sz w:val="20"/>
          <w:szCs w:val="20"/>
        </w:rPr>
        <w:t xml:space="preserve">R. </w:t>
      </w:r>
      <w:r w:rsidR="004101B7" w:rsidRPr="001A5200">
        <w:rPr>
          <w:rFonts w:asciiTheme="majorBidi" w:hAnsiTheme="majorBidi" w:cstheme="majorBidi"/>
          <w:sz w:val="20"/>
          <w:szCs w:val="20"/>
        </w:rPr>
        <w:t xml:space="preserve">Weng, </w:t>
      </w:r>
      <w:r w:rsidRPr="001A5200">
        <w:rPr>
          <w:rFonts w:asciiTheme="majorBidi" w:hAnsiTheme="majorBidi" w:cstheme="majorBidi"/>
          <w:sz w:val="20"/>
          <w:szCs w:val="20"/>
        </w:rPr>
        <w:t xml:space="preserve">J. </w:t>
      </w:r>
      <w:r w:rsidR="004101B7" w:rsidRPr="001A5200">
        <w:rPr>
          <w:rFonts w:asciiTheme="majorBidi" w:hAnsiTheme="majorBidi" w:cstheme="majorBidi"/>
          <w:sz w:val="20"/>
          <w:szCs w:val="20"/>
        </w:rPr>
        <w:t xml:space="preserve">Liu, </w:t>
      </w:r>
      <w:r w:rsidRPr="001A5200">
        <w:rPr>
          <w:rFonts w:asciiTheme="majorBidi" w:hAnsiTheme="majorBidi" w:cstheme="majorBidi"/>
          <w:sz w:val="20"/>
          <w:szCs w:val="20"/>
        </w:rPr>
        <w:t xml:space="preserve">X. </w:t>
      </w:r>
      <w:r w:rsidR="004101B7" w:rsidRPr="001A5200">
        <w:rPr>
          <w:rFonts w:asciiTheme="majorBidi" w:hAnsiTheme="majorBidi" w:cstheme="majorBidi"/>
          <w:sz w:val="20"/>
          <w:szCs w:val="20"/>
        </w:rPr>
        <w:t xml:space="preserve">Gu, &amp; </w:t>
      </w:r>
      <w:r w:rsidRPr="001A5200">
        <w:rPr>
          <w:rFonts w:asciiTheme="majorBidi" w:hAnsiTheme="majorBidi" w:cstheme="majorBidi"/>
          <w:sz w:val="20"/>
          <w:szCs w:val="20"/>
        </w:rPr>
        <w:t xml:space="preserve">Z. </w:t>
      </w:r>
      <w:r w:rsidR="004101B7" w:rsidRPr="001A5200">
        <w:rPr>
          <w:rFonts w:asciiTheme="majorBidi" w:hAnsiTheme="majorBidi" w:cstheme="majorBidi"/>
          <w:sz w:val="20"/>
          <w:szCs w:val="20"/>
        </w:rPr>
        <w:t xml:space="preserve">Zhong (2020). Circulating MicroRNA Expression Profiles in Patients with Stable and Unstable Angina. Clinics (Sao Paulo, Brazil), 75, e1546. </w:t>
      </w:r>
    </w:p>
    <w:p w14:paraId="73825EDB" w14:textId="77777777" w:rsidR="000E6E03" w:rsidRDefault="000E6E03" w:rsidP="000E6E03">
      <w:pPr>
        <w:bidi w:val="0"/>
        <w:spacing w:after="0" w:line="240" w:lineRule="auto"/>
        <w:jc w:val="both"/>
        <w:rPr>
          <w:rFonts w:asciiTheme="majorBidi" w:hAnsiTheme="majorBidi" w:cstheme="majorBidi"/>
          <w:sz w:val="20"/>
          <w:szCs w:val="20"/>
        </w:rPr>
      </w:pPr>
    </w:p>
    <w:p w14:paraId="48098520" w14:textId="77777777" w:rsidR="000E6E03" w:rsidRDefault="000E6E03" w:rsidP="000E6E03">
      <w:pPr>
        <w:bidi w:val="0"/>
        <w:spacing w:after="0" w:line="240" w:lineRule="auto"/>
        <w:jc w:val="both"/>
        <w:rPr>
          <w:rFonts w:asciiTheme="majorBidi" w:hAnsiTheme="majorBidi" w:cstheme="majorBidi"/>
          <w:sz w:val="20"/>
          <w:szCs w:val="20"/>
        </w:rPr>
      </w:pPr>
    </w:p>
    <w:p w14:paraId="5E76DE82" w14:textId="77777777" w:rsidR="000E6E03" w:rsidRDefault="000E6E03" w:rsidP="000E6E03">
      <w:pPr>
        <w:bidi w:val="0"/>
        <w:spacing w:after="0" w:line="240" w:lineRule="auto"/>
        <w:jc w:val="both"/>
        <w:rPr>
          <w:rFonts w:asciiTheme="majorBidi" w:hAnsiTheme="majorBidi" w:cstheme="majorBidi"/>
          <w:sz w:val="20"/>
          <w:szCs w:val="20"/>
        </w:rPr>
      </w:pPr>
    </w:p>
    <w:p w14:paraId="5321FBC7" w14:textId="77777777" w:rsidR="000E6E03" w:rsidRDefault="000E6E03" w:rsidP="000E6E03">
      <w:pPr>
        <w:bidi w:val="0"/>
        <w:spacing w:after="0" w:line="240" w:lineRule="auto"/>
        <w:jc w:val="both"/>
        <w:rPr>
          <w:rFonts w:asciiTheme="majorBidi" w:hAnsiTheme="majorBidi" w:cstheme="majorBidi"/>
          <w:sz w:val="20"/>
          <w:szCs w:val="20"/>
        </w:rPr>
      </w:pPr>
    </w:p>
    <w:p w14:paraId="6EFDC5B2" w14:textId="77777777" w:rsidR="000E6E03" w:rsidRDefault="000E6E03" w:rsidP="000E6E03">
      <w:pPr>
        <w:bidi w:val="0"/>
        <w:spacing w:after="0" w:line="240" w:lineRule="auto"/>
        <w:jc w:val="both"/>
        <w:rPr>
          <w:rFonts w:asciiTheme="majorBidi" w:hAnsiTheme="majorBidi" w:cstheme="majorBidi"/>
          <w:sz w:val="20"/>
          <w:szCs w:val="20"/>
        </w:rPr>
      </w:pPr>
    </w:p>
    <w:p w14:paraId="54075F78" w14:textId="77777777" w:rsidR="000E6E03" w:rsidRDefault="000E6E03" w:rsidP="000E6E03">
      <w:pPr>
        <w:bidi w:val="0"/>
        <w:spacing w:after="0" w:line="240" w:lineRule="auto"/>
        <w:jc w:val="both"/>
        <w:rPr>
          <w:rFonts w:asciiTheme="majorBidi" w:hAnsiTheme="majorBidi" w:cstheme="majorBidi"/>
          <w:sz w:val="20"/>
          <w:szCs w:val="20"/>
        </w:rPr>
      </w:pPr>
    </w:p>
    <w:p w14:paraId="53C4988A" w14:textId="77777777" w:rsidR="000E6E03" w:rsidRDefault="000E6E03" w:rsidP="000E6E03">
      <w:pPr>
        <w:bidi w:val="0"/>
        <w:spacing w:after="0" w:line="240" w:lineRule="auto"/>
        <w:jc w:val="both"/>
        <w:rPr>
          <w:rFonts w:asciiTheme="majorBidi" w:hAnsiTheme="majorBidi" w:cstheme="majorBidi"/>
          <w:sz w:val="20"/>
          <w:szCs w:val="20"/>
        </w:rPr>
      </w:pPr>
    </w:p>
    <w:p w14:paraId="44564A1A" w14:textId="77777777" w:rsidR="000E6E03" w:rsidRDefault="000E6E03" w:rsidP="000E6E03">
      <w:pPr>
        <w:bidi w:val="0"/>
        <w:spacing w:after="0" w:line="240" w:lineRule="auto"/>
        <w:jc w:val="both"/>
        <w:rPr>
          <w:rFonts w:asciiTheme="majorBidi" w:hAnsiTheme="majorBidi" w:cstheme="majorBidi"/>
          <w:sz w:val="20"/>
          <w:szCs w:val="20"/>
        </w:rPr>
      </w:pPr>
    </w:p>
    <w:p w14:paraId="7C3FFDD7" w14:textId="77777777" w:rsidR="000E6E03" w:rsidRDefault="000E6E03" w:rsidP="000E6E03">
      <w:pPr>
        <w:bidi w:val="0"/>
        <w:spacing w:after="0" w:line="240" w:lineRule="auto"/>
        <w:jc w:val="both"/>
        <w:rPr>
          <w:rFonts w:asciiTheme="majorBidi" w:hAnsiTheme="majorBidi" w:cstheme="majorBidi"/>
          <w:sz w:val="20"/>
          <w:szCs w:val="20"/>
        </w:rPr>
      </w:pPr>
    </w:p>
    <w:p w14:paraId="3CAF29F9" w14:textId="77777777" w:rsidR="000E6E03" w:rsidRDefault="000E6E03" w:rsidP="000E6E03">
      <w:pPr>
        <w:bidi w:val="0"/>
        <w:spacing w:after="0" w:line="240" w:lineRule="auto"/>
        <w:jc w:val="both"/>
        <w:rPr>
          <w:rFonts w:asciiTheme="majorBidi" w:hAnsiTheme="majorBidi" w:cstheme="majorBidi"/>
          <w:sz w:val="20"/>
          <w:szCs w:val="20"/>
        </w:rPr>
      </w:pPr>
    </w:p>
    <w:p w14:paraId="78D5F0C2" w14:textId="77777777" w:rsidR="000E6E03" w:rsidRDefault="000E6E03" w:rsidP="000E6E03">
      <w:pPr>
        <w:bidi w:val="0"/>
        <w:spacing w:after="0" w:line="240" w:lineRule="auto"/>
        <w:jc w:val="both"/>
        <w:rPr>
          <w:rFonts w:asciiTheme="majorBidi" w:hAnsiTheme="majorBidi" w:cstheme="majorBidi"/>
          <w:sz w:val="20"/>
          <w:szCs w:val="20"/>
        </w:rPr>
      </w:pPr>
    </w:p>
    <w:p w14:paraId="1808D89F" w14:textId="77777777" w:rsidR="000E6E03" w:rsidRDefault="000E6E03" w:rsidP="000E6E03">
      <w:pPr>
        <w:bidi w:val="0"/>
        <w:spacing w:after="0" w:line="240" w:lineRule="auto"/>
        <w:jc w:val="both"/>
        <w:rPr>
          <w:rFonts w:asciiTheme="majorBidi" w:hAnsiTheme="majorBidi" w:cstheme="majorBidi"/>
          <w:sz w:val="20"/>
          <w:szCs w:val="20"/>
        </w:rPr>
      </w:pPr>
    </w:p>
    <w:p w14:paraId="73E820A5" w14:textId="77777777" w:rsidR="000E6E03" w:rsidRDefault="000E6E03" w:rsidP="000E6E03">
      <w:pPr>
        <w:bidi w:val="0"/>
        <w:spacing w:after="0" w:line="240" w:lineRule="auto"/>
        <w:jc w:val="both"/>
        <w:rPr>
          <w:rFonts w:asciiTheme="majorBidi" w:hAnsiTheme="majorBidi" w:cstheme="majorBidi"/>
          <w:sz w:val="20"/>
          <w:szCs w:val="20"/>
        </w:rPr>
      </w:pPr>
    </w:p>
    <w:p w14:paraId="51B175B5" w14:textId="77777777" w:rsidR="000E6E03" w:rsidRDefault="000E6E03" w:rsidP="000E6E03">
      <w:pPr>
        <w:bidi w:val="0"/>
        <w:spacing w:after="0" w:line="240" w:lineRule="auto"/>
        <w:jc w:val="both"/>
        <w:rPr>
          <w:rFonts w:asciiTheme="majorBidi" w:hAnsiTheme="majorBidi" w:cstheme="majorBidi"/>
          <w:sz w:val="20"/>
          <w:szCs w:val="20"/>
        </w:rPr>
      </w:pPr>
    </w:p>
    <w:p w14:paraId="5D03EBFB" w14:textId="77777777" w:rsidR="000E6E03" w:rsidRDefault="000E6E03" w:rsidP="000E6E03">
      <w:pPr>
        <w:bidi w:val="0"/>
        <w:spacing w:after="0" w:line="240" w:lineRule="auto"/>
        <w:jc w:val="both"/>
        <w:rPr>
          <w:rFonts w:asciiTheme="majorBidi" w:hAnsiTheme="majorBidi" w:cstheme="majorBidi"/>
          <w:sz w:val="20"/>
          <w:szCs w:val="20"/>
        </w:rPr>
      </w:pPr>
    </w:p>
    <w:p w14:paraId="3D6E4108" w14:textId="77777777" w:rsidR="000E6E03" w:rsidRDefault="000E6E03" w:rsidP="000E6E03">
      <w:pPr>
        <w:bidi w:val="0"/>
        <w:spacing w:after="0" w:line="240" w:lineRule="auto"/>
        <w:jc w:val="both"/>
        <w:rPr>
          <w:rFonts w:asciiTheme="majorBidi" w:hAnsiTheme="majorBidi" w:cstheme="majorBidi"/>
          <w:sz w:val="20"/>
          <w:szCs w:val="20"/>
        </w:rPr>
      </w:pPr>
    </w:p>
    <w:p w14:paraId="23D96A3C" w14:textId="77777777" w:rsidR="000E6E03" w:rsidRDefault="000E6E03" w:rsidP="000E6E03">
      <w:pPr>
        <w:bidi w:val="0"/>
        <w:spacing w:after="0" w:line="240" w:lineRule="auto"/>
        <w:jc w:val="both"/>
        <w:rPr>
          <w:rFonts w:asciiTheme="majorBidi" w:hAnsiTheme="majorBidi" w:cstheme="majorBidi"/>
          <w:sz w:val="20"/>
          <w:szCs w:val="20"/>
        </w:rPr>
      </w:pPr>
    </w:p>
    <w:p w14:paraId="6D7EE4B2" w14:textId="77777777" w:rsidR="000E6E03" w:rsidRDefault="000E6E03" w:rsidP="000E6E03">
      <w:pPr>
        <w:bidi w:val="0"/>
        <w:spacing w:after="0" w:line="240" w:lineRule="auto"/>
        <w:jc w:val="both"/>
        <w:rPr>
          <w:rFonts w:asciiTheme="majorBidi" w:hAnsiTheme="majorBidi" w:cstheme="majorBidi"/>
          <w:sz w:val="20"/>
          <w:szCs w:val="20"/>
        </w:rPr>
      </w:pPr>
    </w:p>
    <w:p w14:paraId="1ECF9980" w14:textId="77777777" w:rsidR="000E6E03" w:rsidRDefault="000E6E03" w:rsidP="000E6E03">
      <w:pPr>
        <w:bidi w:val="0"/>
        <w:spacing w:after="0" w:line="240" w:lineRule="auto"/>
        <w:jc w:val="both"/>
        <w:rPr>
          <w:rFonts w:asciiTheme="majorBidi" w:hAnsiTheme="majorBidi" w:cstheme="majorBidi"/>
          <w:sz w:val="20"/>
          <w:szCs w:val="20"/>
        </w:rPr>
      </w:pPr>
    </w:p>
    <w:p w14:paraId="516E14F6" w14:textId="77777777" w:rsidR="000E6E03" w:rsidRDefault="000E6E03" w:rsidP="000E6E03">
      <w:pPr>
        <w:bidi w:val="0"/>
        <w:spacing w:after="0" w:line="240" w:lineRule="auto"/>
        <w:jc w:val="both"/>
        <w:rPr>
          <w:rFonts w:asciiTheme="majorBidi" w:hAnsiTheme="majorBidi" w:cstheme="majorBidi"/>
          <w:sz w:val="20"/>
          <w:szCs w:val="20"/>
        </w:rPr>
      </w:pPr>
    </w:p>
    <w:p w14:paraId="7C9CDC24" w14:textId="77777777" w:rsidR="000E6E03" w:rsidRDefault="000E6E03" w:rsidP="000E6E03">
      <w:pPr>
        <w:bidi w:val="0"/>
        <w:spacing w:after="0" w:line="240" w:lineRule="auto"/>
        <w:jc w:val="both"/>
        <w:rPr>
          <w:rFonts w:asciiTheme="majorBidi" w:hAnsiTheme="majorBidi" w:cstheme="majorBidi"/>
          <w:sz w:val="20"/>
          <w:szCs w:val="20"/>
        </w:rPr>
      </w:pPr>
    </w:p>
    <w:p w14:paraId="7253CBC4" w14:textId="77777777" w:rsidR="000E6E03" w:rsidRDefault="000E6E03" w:rsidP="000E6E03">
      <w:pPr>
        <w:bidi w:val="0"/>
        <w:spacing w:after="0" w:line="240" w:lineRule="auto"/>
        <w:jc w:val="both"/>
        <w:rPr>
          <w:rFonts w:asciiTheme="majorBidi" w:hAnsiTheme="majorBidi" w:cstheme="majorBidi"/>
          <w:sz w:val="20"/>
          <w:szCs w:val="20"/>
        </w:rPr>
      </w:pPr>
    </w:p>
    <w:p w14:paraId="54F19F64" w14:textId="77777777" w:rsidR="000E6E03" w:rsidRDefault="000E6E03" w:rsidP="000E6E03">
      <w:pPr>
        <w:bidi w:val="0"/>
        <w:spacing w:after="0" w:line="240" w:lineRule="auto"/>
        <w:jc w:val="both"/>
        <w:rPr>
          <w:rFonts w:asciiTheme="majorBidi" w:hAnsiTheme="majorBidi" w:cstheme="majorBidi"/>
          <w:sz w:val="20"/>
          <w:szCs w:val="20"/>
        </w:rPr>
      </w:pPr>
    </w:p>
    <w:p w14:paraId="4F204959" w14:textId="77777777" w:rsidR="000E6E03" w:rsidRDefault="000E6E03" w:rsidP="000E6E03">
      <w:pPr>
        <w:bidi w:val="0"/>
        <w:spacing w:after="0" w:line="240" w:lineRule="auto"/>
        <w:jc w:val="both"/>
        <w:rPr>
          <w:rFonts w:asciiTheme="majorBidi" w:hAnsiTheme="majorBidi" w:cstheme="majorBidi"/>
          <w:sz w:val="20"/>
          <w:szCs w:val="20"/>
        </w:rPr>
      </w:pPr>
    </w:p>
    <w:p w14:paraId="43EC8B0B" w14:textId="77777777" w:rsidR="000E6E03" w:rsidRDefault="000E6E03" w:rsidP="000E6E03">
      <w:pPr>
        <w:bidi w:val="0"/>
        <w:spacing w:after="0" w:line="240" w:lineRule="auto"/>
        <w:jc w:val="both"/>
        <w:rPr>
          <w:rFonts w:asciiTheme="majorBidi" w:hAnsiTheme="majorBidi" w:cstheme="majorBidi"/>
          <w:sz w:val="20"/>
          <w:szCs w:val="20"/>
        </w:rPr>
      </w:pPr>
    </w:p>
    <w:p w14:paraId="446C34DA" w14:textId="77777777" w:rsidR="000E6E03" w:rsidRDefault="000E6E03" w:rsidP="000E6E03">
      <w:pPr>
        <w:bidi w:val="0"/>
        <w:spacing w:after="0" w:line="240" w:lineRule="auto"/>
        <w:jc w:val="both"/>
        <w:rPr>
          <w:rFonts w:asciiTheme="majorBidi" w:hAnsiTheme="majorBidi" w:cstheme="majorBidi"/>
          <w:sz w:val="20"/>
          <w:szCs w:val="20"/>
        </w:rPr>
      </w:pPr>
    </w:p>
    <w:p w14:paraId="23273606" w14:textId="77777777" w:rsidR="000E6E03" w:rsidRDefault="000E6E03" w:rsidP="000E6E03">
      <w:pPr>
        <w:bidi w:val="0"/>
        <w:spacing w:after="0" w:line="240" w:lineRule="auto"/>
        <w:jc w:val="both"/>
        <w:rPr>
          <w:rFonts w:asciiTheme="majorBidi" w:hAnsiTheme="majorBidi" w:cstheme="majorBidi"/>
          <w:sz w:val="20"/>
          <w:szCs w:val="20"/>
        </w:rPr>
      </w:pPr>
    </w:p>
    <w:p w14:paraId="4AAA973F" w14:textId="77777777" w:rsidR="000E6E03" w:rsidRDefault="000E6E03" w:rsidP="000E6E03">
      <w:pPr>
        <w:bidi w:val="0"/>
        <w:spacing w:after="0" w:line="240" w:lineRule="auto"/>
        <w:jc w:val="both"/>
        <w:rPr>
          <w:rFonts w:asciiTheme="majorBidi" w:hAnsiTheme="majorBidi" w:cstheme="majorBidi"/>
          <w:sz w:val="20"/>
          <w:szCs w:val="20"/>
        </w:rPr>
      </w:pPr>
    </w:p>
    <w:p w14:paraId="7B5B85BB" w14:textId="77777777" w:rsidR="000E6E03" w:rsidRDefault="000E6E03" w:rsidP="000E6E03">
      <w:pPr>
        <w:bidi w:val="0"/>
        <w:spacing w:after="0" w:line="240" w:lineRule="auto"/>
        <w:jc w:val="both"/>
        <w:rPr>
          <w:rFonts w:asciiTheme="majorBidi" w:hAnsiTheme="majorBidi" w:cstheme="majorBidi"/>
          <w:sz w:val="20"/>
          <w:szCs w:val="20"/>
        </w:rPr>
      </w:pPr>
    </w:p>
    <w:p w14:paraId="3645D2E9" w14:textId="77777777" w:rsidR="000E6E03" w:rsidRDefault="000E6E03" w:rsidP="000E6E03">
      <w:pPr>
        <w:bidi w:val="0"/>
        <w:spacing w:after="0" w:line="240" w:lineRule="auto"/>
        <w:jc w:val="both"/>
        <w:rPr>
          <w:rFonts w:asciiTheme="majorBidi" w:hAnsiTheme="majorBidi" w:cstheme="majorBidi"/>
          <w:sz w:val="20"/>
          <w:szCs w:val="20"/>
        </w:rPr>
      </w:pPr>
    </w:p>
    <w:p w14:paraId="66684AF8" w14:textId="77777777" w:rsidR="000E6E03" w:rsidRDefault="000E6E03" w:rsidP="000E6E03">
      <w:pPr>
        <w:bidi w:val="0"/>
        <w:spacing w:after="0" w:line="240" w:lineRule="auto"/>
        <w:jc w:val="both"/>
        <w:rPr>
          <w:rFonts w:asciiTheme="majorBidi" w:hAnsiTheme="majorBidi" w:cstheme="majorBidi"/>
          <w:sz w:val="20"/>
          <w:szCs w:val="20"/>
        </w:rPr>
      </w:pPr>
    </w:p>
    <w:p w14:paraId="093466C1" w14:textId="77777777" w:rsidR="000E6E03" w:rsidRDefault="000E6E03" w:rsidP="000E6E03">
      <w:pPr>
        <w:bidi w:val="0"/>
        <w:spacing w:after="0" w:line="240" w:lineRule="auto"/>
        <w:jc w:val="both"/>
        <w:rPr>
          <w:rFonts w:asciiTheme="majorBidi" w:hAnsiTheme="majorBidi" w:cstheme="majorBidi"/>
          <w:sz w:val="20"/>
          <w:szCs w:val="20"/>
        </w:rPr>
      </w:pPr>
    </w:p>
    <w:p w14:paraId="2945D76D" w14:textId="77777777" w:rsidR="000E6E03" w:rsidRDefault="000E6E03" w:rsidP="000E6E03">
      <w:pPr>
        <w:bidi w:val="0"/>
        <w:spacing w:after="0" w:line="240" w:lineRule="auto"/>
        <w:jc w:val="both"/>
        <w:rPr>
          <w:rFonts w:asciiTheme="majorBidi" w:hAnsiTheme="majorBidi" w:cstheme="majorBidi"/>
          <w:sz w:val="20"/>
          <w:szCs w:val="20"/>
        </w:rPr>
      </w:pPr>
    </w:p>
    <w:p w14:paraId="2984C4E6" w14:textId="77777777" w:rsidR="000E6E03" w:rsidRDefault="000E6E03" w:rsidP="000E6E03">
      <w:pPr>
        <w:bidi w:val="0"/>
        <w:spacing w:after="0" w:line="240" w:lineRule="auto"/>
        <w:jc w:val="both"/>
        <w:rPr>
          <w:rFonts w:asciiTheme="majorBidi" w:hAnsiTheme="majorBidi" w:cstheme="majorBidi"/>
          <w:sz w:val="20"/>
          <w:szCs w:val="20"/>
        </w:rPr>
      </w:pPr>
    </w:p>
    <w:p w14:paraId="55F78267" w14:textId="77777777" w:rsidR="000E6E03" w:rsidRDefault="000E6E03" w:rsidP="000E6E03">
      <w:pPr>
        <w:bidi w:val="0"/>
        <w:spacing w:after="0" w:line="240" w:lineRule="auto"/>
        <w:jc w:val="both"/>
        <w:rPr>
          <w:rFonts w:asciiTheme="majorBidi" w:hAnsiTheme="majorBidi" w:cstheme="majorBidi"/>
          <w:sz w:val="20"/>
          <w:szCs w:val="20"/>
        </w:rPr>
      </w:pPr>
    </w:p>
    <w:p w14:paraId="637BDEDD" w14:textId="77777777" w:rsidR="000E6E03" w:rsidRDefault="000E6E03" w:rsidP="000E6E03">
      <w:pPr>
        <w:bidi w:val="0"/>
        <w:spacing w:after="0" w:line="240" w:lineRule="auto"/>
        <w:jc w:val="both"/>
        <w:rPr>
          <w:rFonts w:asciiTheme="majorBidi" w:hAnsiTheme="majorBidi" w:cstheme="majorBidi"/>
          <w:sz w:val="20"/>
          <w:szCs w:val="20"/>
        </w:rPr>
      </w:pPr>
    </w:p>
    <w:p w14:paraId="044243AC" w14:textId="77777777" w:rsidR="000E6E03" w:rsidRDefault="000E6E03" w:rsidP="000E6E03">
      <w:pPr>
        <w:bidi w:val="0"/>
        <w:spacing w:after="0" w:line="240" w:lineRule="auto"/>
        <w:jc w:val="both"/>
        <w:rPr>
          <w:rFonts w:asciiTheme="majorBidi" w:hAnsiTheme="majorBidi" w:cstheme="majorBidi"/>
          <w:sz w:val="20"/>
          <w:szCs w:val="20"/>
        </w:rPr>
      </w:pPr>
    </w:p>
    <w:p w14:paraId="6F6875FC" w14:textId="77777777" w:rsidR="000E6E03" w:rsidRDefault="000E6E03" w:rsidP="000E6E03">
      <w:pPr>
        <w:bidi w:val="0"/>
        <w:spacing w:after="0" w:line="240" w:lineRule="auto"/>
        <w:jc w:val="both"/>
        <w:rPr>
          <w:rFonts w:asciiTheme="majorBidi" w:hAnsiTheme="majorBidi" w:cstheme="majorBidi"/>
          <w:sz w:val="20"/>
          <w:szCs w:val="20"/>
        </w:rPr>
      </w:pPr>
    </w:p>
    <w:p w14:paraId="64E36EAC" w14:textId="77777777" w:rsidR="000E6E03" w:rsidRDefault="000E6E03" w:rsidP="000E6E03">
      <w:pPr>
        <w:bidi w:val="0"/>
        <w:spacing w:after="0" w:line="240" w:lineRule="auto"/>
        <w:jc w:val="both"/>
        <w:rPr>
          <w:rFonts w:asciiTheme="majorBidi" w:hAnsiTheme="majorBidi" w:cstheme="majorBidi"/>
          <w:sz w:val="20"/>
          <w:szCs w:val="20"/>
        </w:rPr>
      </w:pPr>
    </w:p>
    <w:p w14:paraId="66E4C616" w14:textId="77777777" w:rsidR="000E6E03" w:rsidRDefault="000E6E03" w:rsidP="000E6E03">
      <w:pPr>
        <w:bidi w:val="0"/>
        <w:spacing w:after="0" w:line="240" w:lineRule="auto"/>
        <w:jc w:val="both"/>
        <w:rPr>
          <w:rFonts w:asciiTheme="majorBidi" w:hAnsiTheme="majorBidi" w:cstheme="majorBidi"/>
          <w:sz w:val="20"/>
          <w:szCs w:val="20"/>
        </w:rPr>
      </w:pPr>
    </w:p>
    <w:p w14:paraId="42D95B92" w14:textId="77777777" w:rsidR="000E6E03" w:rsidRPr="000E6E03" w:rsidRDefault="000E6E03" w:rsidP="000E6E03">
      <w:pPr>
        <w:bidi w:val="0"/>
        <w:spacing w:after="0" w:line="240" w:lineRule="auto"/>
        <w:jc w:val="both"/>
        <w:rPr>
          <w:rFonts w:asciiTheme="majorBidi" w:hAnsiTheme="majorBidi" w:cstheme="majorBidi"/>
          <w:sz w:val="20"/>
          <w:szCs w:val="20"/>
        </w:rPr>
      </w:pPr>
    </w:p>
    <w:p w14:paraId="19B19EE9" w14:textId="5522AB18" w:rsidR="004101B7" w:rsidRPr="001A5200" w:rsidRDefault="003B6B75" w:rsidP="000E6E03">
      <w:pPr>
        <w:pStyle w:val="ListParagraph"/>
        <w:numPr>
          <w:ilvl w:val="0"/>
          <w:numId w:val="18"/>
        </w:numPr>
        <w:bidi w:val="0"/>
        <w:spacing w:after="0" w:line="240" w:lineRule="auto"/>
        <w:ind w:left="360" w:hanging="270"/>
        <w:contextualSpacing w:val="0"/>
        <w:jc w:val="both"/>
        <w:rPr>
          <w:rFonts w:asciiTheme="majorBidi" w:hAnsiTheme="majorBidi" w:cstheme="majorBidi"/>
          <w:sz w:val="20"/>
          <w:szCs w:val="20"/>
        </w:rPr>
      </w:pPr>
      <w:r w:rsidRPr="001A5200">
        <w:rPr>
          <w:rFonts w:asciiTheme="majorBidi" w:hAnsiTheme="majorBidi" w:cstheme="majorBidi"/>
          <w:sz w:val="20"/>
          <w:szCs w:val="20"/>
        </w:rPr>
        <w:t xml:space="preserve">T. </w:t>
      </w:r>
      <w:r w:rsidR="004101B7" w:rsidRPr="001A5200">
        <w:rPr>
          <w:rFonts w:asciiTheme="majorBidi" w:hAnsiTheme="majorBidi" w:cstheme="majorBidi"/>
          <w:sz w:val="20"/>
          <w:szCs w:val="20"/>
        </w:rPr>
        <w:t xml:space="preserve">Su, </w:t>
      </w:r>
      <w:r w:rsidR="00FC66D0" w:rsidRPr="001A5200">
        <w:rPr>
          <w:rFonts w:asciiTheme="majorBidi" w:hAnsiTheme="majorBidi" w:cstheme="majorBidi"/>
          <w:sz w:val="20"/>
          <w:szCs w:val="20"/>
        </w:rPr>
        <w:t xml:space="preserve">X. </w:t>
      </w:r>
      <w:r w:rsidR="004101B7" w:rsidRPr="001A5200">
        <w:rPr>
          <w:rFonts w:asciiTheme="majorBidi" w:hAnsiTheme="majorBidi" w:cstheme="majorBidi"/>
          <w:sz w:val="20"/>
          <w:szCs w:val="20"/>
        </w:rPr>
        <w:t xml:space="preserve">Shao, </w:t>
      </w:r>
      <w:r w:rsidR="00FC66D0" w:rsidRPr="001A5200">
        <w:rPr>
          <w:rFonts w:asciiTheme="majorBidi" w:hAnsiTheme="majorBidi" w:cstheme="majorBidi"/>
          <w:sz w:val="20"/>
          <w:szCs w:val="20"/>
        </w:rPr>
        <w:t xml:space="preserve">X. </w:t>
      </w:r>
      <w:r w:rsidR="004101B7" w:rsidRPr="001A5200">
        <w:rPr>
          <w:rFonts w:asciiTheme="majorBidi" w:hAnsiTheme="majorBidi" w:cstheme="majorBidi"/>
          <w:sz w:val="20"/>
          <w:szCs w:val="20"/>
        </w:rPr>
        <w:t xml:space="preserve">Zhang, </w:t>
      </w:r>
      <w:r w:rsidR="00FC66D0" w:rsidRPr="001A5200">
        <w:rPr>
          <w:rFonts w:asciiTheme="majorBidi" w:hAnsiTheme="majorBidi" w:cstheme="majorBidi"/>
          <w:sz w:val="20"/>
          <w:szCs w:val="20"/>
        </w:rPr>
        <w:t xml:space="preserve">Z. </w:t>
      </w:r>
      <w:r w:rsidR="004101B7" w:rsidRPr="001A5200">
        <w:rPr>
          <w:rFonts w:asciiTheme="majorBidi" w:hAnsiTheme="majorBidi" w:cstheme="majorBidi"/>
          <w:sz w:val="20"/>
          <w:szCs w:val="20"/>
        </w:rPr>
        <w:t xml:space="preserve">Han, </w:t>
      </w:r>
      <w:r w:rsidR="00FC66D0" w:rsidRPr="001A5200">
        <w:rPr>
          <w:rFonts w:asciiTheme="majorBidi" w:hAnsiTheme="majorBidi" w:cstheme="majorBidi"/>
          <w:sz w:val="20"/>
          <w:szCs w:val="20"/>
        </w:rPr>
        <w:t xml:space="preserve">C. </w:t>
      </w:r>
      <w:r w:rsidR="004101B7" w:rsidRPr="001A5200">
        <w:rPr>
          <w:rFonts w:asciiTheme="majorBidi" w:hAnsiTheme="majorBidi" w:cstheme="majorBidi"/>
          <w:sz w:val="20"/>
          <w:szCs w:val="20"/>
        </w:rPr>
        <w:t xml:space="preserve">Yang, &amp; </w:t>
      </w:r>
      <w:r w:rsidR="00FC66D0" w:rsidRPr="001A5200">
        <w:rPr>
          <w:rFonts w:asciiTheme="majorBidi" w:hAnsiTheme="majorBidi" w:cstheme="majorBidi"/>
          <w:sz w:val="20"/>
          <w:szCs w:val="20"/>
        </w:rPr>
        <w:t xml:space="preserve">X. </w:t>
      </w:r>
      <w:r w:rsidR="004101B7" w:rsidRPr="001A5200">
        <w:rPr>
          <w:rFonts w:asciiTheme="majorBidi" w:hAnsiTheme="majorBidi" w:cstheme="majorBidi"/>
          <w:sz w:val="20"/>
          <w:szCs w:val="20"/>
        </w:rPr>
        <w:t xml:space="preserve">Li (2019). Circulating microRNA-1 in the diagnosis and predicting prognosis of patients with chest pain: a prospective cohort study. BMC cardiovascular disorders, 19(1), 5. </w:t>
      </w:r>
    </w:p>
    <w:p w14:paraId="3974B661" w14:textId="3F590507" w:rsidR="004101B7" w:rsidRPr="001A5200" w:rsidRDefault="00A17E08" w:rsidP="000E6E03">
      <w:pPr>
        <w:pStyle w:val="ListParagraph"/>
        <w:numPr>
          <w:ilvl w:val="0"/>
          <w:numId w:val="18"/>
        </w:numPr>
        <w:bidi w:val="0"/>
        <w:spacing w:after="0" w:line="240" w:lineRule="auto"/>
        <w:ind w:left="360" w:hanging="270"/>
        <w:contextualSpacing w:val="0"/>
        <w:jc w:val="both"/>
        <w:rPr>
          <w:rFonts w:asciiTheme="majorBidi" w:hAnsiTheme="majorBidi" w:cstheme="majorBidi"/>
          <w:sz w:val="20"/>
          <w:szCs w:val="20"/>
        </w:rPr>
      </w:pPr>
      <w:r w:rsidRPr="001A5200">
        <w:rPr>
          <w:rFonts w:asciiTheme="majorBidi" w:hAnsiTheme="majorBidi" w:cstheme="majorBidi"/>
          <w:sz w:val="20"/>
          <w:szCs w:val="20"/>
        </w:rPr>
        <w:t xml:space="preserve">Y. </w:t>
      </w:r>
      <w:proofErr w:type="spellStart"/>
      <w:r w:rsidR="004101B7" w:rsidRPr="001A5200">
        <w:rPr>
          <w:rFonts w:asciiTheme="majorBidi" w:hAnsiTheme="majorBidi" w:cstheme="majorBidi"/>
          <w:sz w:val="20"/>
          <w:szCs w:val="20"/>
        </w:rPr>
        <w:t>D'Alessandra</w:t>
      </w:r>
      <w:proofErr w:type="spellEnd"/>
      <w:r w:rsidR="004101B7" w:rsidRPr="001A5200">
        <w:rPr>
          <w:rFonts w:asciiTheme="majorBidi" w:hAnsiTheme="majorBidi" w:cstheme="majorBidi"/>
          <w:sz w:val="20"/>
          <w:szCs w:val="20"/>
        </w:rPr>
        <w:t xml:space="preserve">, </w:t>
      </w:r>
      <w:r w:rsidRPr="001A5200">
        <w:rPr>
          <w:rFonts w:asciiTheme="majorBidi" w:hAnsiTheme="majorBidi" w:cstheme="majorBidi"/>
          <w:sz w:val="20"/>
          <w:szCs w:val="20"/>
        </w:rPr>
        <w:t xml:space="preserve">M. C. </w:t>
      </w:r>
      <w:r w:rsidR="004101B7" w:rsidRPr="001A5200">
        <w:rPr>
          <w:rFonts w:asciiTheme="majorBidi" w:hAnsiTheme="majorBidi" w:cstheme="majorBidi"/>
          <w:sz w:val="20"/>
          <w:szCs w:val="20"/>
        </w:rPr>
        <w:t xml:space="preserve">Carena, </w:t>
      </w:r>
      <w:r w:rsidRPr="001A5200">
        <w:rPr>
          <w:rFonts w:asciiTheme="majorBidi" w:hAnsiTheme="majorBidi" w:cstheme="majorBidi"/>
          <w:sz w:val="20"/>
          <w:szCs w:val="20"/>
        </w:rPr>
        <w:t xml:space="preserve">L. </w:t>
      </w:r>
      <w:proofErr w:type="spellStart"/>
      <w:r w:rsidR="004101B7" w:rsidRPr="001A5200">
        <w:rPr>
          <w:rFonts w:asciiTheme="majorBidi" w:hAnsiTheme="majorBidi" w:cstheme="majorBidi"/>
          <w:sz w:val="20"/>
          <w:szCs w:val="20"/>
        </w:rPr>
        <w:t>Spazzafumo</w:t>
      </w:r>
      <w:proofErr w:type="spellEnd"/>
      <w:r w:rsidR="004101B7" w:rsidRPr="001A5200">
        <w:rPr>
          <w:rFonts w:asciiTheme="majorBidi" w:hAnsiTheme="majorBidi" w:cstheme="majorBidi"/>
          <w:sz w:val="20"/>
          <w:szCs w:val="20"/>
        </w:rPr>
        <w:t xml:space="preserve">, </w:t>
      </w:r>
      <w:r w:rsidRPr="001A5200">
        <w:rPr>
          <w:rFonts w:asciiTheme="majorBidi" w:hAnsiTheme="majorBidi" w:cstheme="majorBidi"/>
          <w:sz w:val="20"/>
          <w:szCs w:val="20"/>
        </w:rPr>
        <w:t xml:space="preserve">F. </w:t>
      </w:r>
      <w:r w:rsidR="004101B7" w:rsidRPr="001A5200">
        <w:rPr>
          <w:rFonts w:asciiTheme="majorBidi" w:hAnsiTheme="majorBidi" w:cstheme="majorBidi"/>
          <w:sz w:val="20"/>
          <w:szCs w:val="20"/>
        </w:rPr>
        <w:t xml:space="preserve">Martinelli, </w:t>
      </w:r>
      <w:r w:rsidRPr="001A5200">
        <w:rPr>
          <w:rFonts w:asciiTheme="majorBidi" w:hAnsiTheme="majorBidi" w:cstheme="majorBidi"/>
          <w:sz w:val="20"/>
          <w:szCs w:val="20"/>
        </w:rPr>
        <w:t xml:space="preserve">B. </w:t>
      </w:r>
      <w:r w:rsidR="004101B7" w:rsidRPr="001A5200">
        <w:rPr>
          <w:rFonts w:asciiTheme="majorBidi" w:hAnsiTheme="majorBidi" w:cstheme="majorBidi"/>
          <w:sz w:val="20"/>
          <w:szCs w:val="20"/>
        </w:rPr>
        <w:t xml:space="preserve">Bassetti, </w:t>
      </w:r>
      <w:r w:rsidRPr="001A5200">
        <w:rPr>
          <w:rFonts w:asciiTheme="majorBidi" w:hAnsiTheme="majorBidi" w:cstheme="majorBidi"/>
          <w:sz w:val="20"/>
          <w:szCs w:val="20"/>
        </w:rPr>
        <w:t xml:space="preserve">P. </w:t>
      </w:r>
      <w:r w:rsidR="004101B7" w:rsidRPr="001A5200">
        <w:rPr>
          <w:rFonts w:asciiTheme="majorBidi" w:hAnsiTheme="majorBidi" w:cstheme="majorBidi"/>
          <w:sz w:val="20"/>
          <w:szCs w:val="20"/>
        </w:rPr>
        <w:t xml:space="preserve">Devanna, </w:t>
      </w:r>
      <w:r w:rsidRPr="001A5200">
        <w:rPr>
          <w:rFonts w:asciiTheme="majorBidi" w:hAnsiTheme="majorBidi" w:cstheme="majorBidi"/>
          <w:sz w:val="20"/>
          <w:szCs w:val="20"/>
        </w:rPr>
        <w:t xml:space="preserve">M. </w:t>
      </w:r>
      <w:r w:rsidR="004101B7" w:rsidRPr="001A5200">
        <w:rPr>
          <w:rFonts w:asciiTheme="majorBidi" w:hAnsiTheme="majorBidi" w:cstheme="majorBidi"/>
          <w:sz w:val="20"/>
          <w:szCs w:val="20"/>
        </w:rPr>
        <w:t xml:space="preserve">Rubino, </w:t>
      </w:r>
      <w:r w:rsidRPr="001A5200">
        <w:rPr>
          <w:rFonts w:asciiTheme="majorBidi" w:hAnsiTheme="majorBidi" w:cstheme="majorBidi"/>
          <w:sz w:val="20"/>
          <w:szCs w:val="20"/>
        </w:rPr>
        <w:t xml:space="preserve">G. </w:t>
      </w:r>
      <w:proofErr w:type="spellStart"/>
      <w:r w:rsidR="004101B7" w:rsidRPr="001A5200">
        <w:rPr>
          <w:rFonts w:asciiTheme="majorBidi" w:hAnsiTheme="majorBidi" w:cstheme="majorBidi"/>
          <w:sz w:val="20"/>
          <w:szCs w:val="20"/>
        </w:rPr>
        <w:t>Marenzi</w:t>
      </w:r>
      <w:proofErr w:type="spellEnd"/>
      <w:r w:rsidR="004101B7" w:rsidRPr="001A5200">
        <w:rPr>
          <w:rFonts w:asciiTheme="majorBidi" w:hAnsiTheme="majorBidi" w:cstheme="majorBidi"/>
          <w:sz w:val="20"/>
          <w:szCs w:val="20"/>
        </w:rPr>
        <w:t xml:space="preserve">, </w:t>
      </w:r>
      <w:r w:rsidRPr="001A5200">
        <w:rPr>
          <w:rFonts w:asciiTheme="majorBidi" w:hAnsiTheme="majorBidi" w:cstheme="majorBidi"/>
          <w:sz w:val="20"/>
          <w:szCs w:val="20"/>
        </w:rPr>
        <w:t xml:space="preserve">G. I. </w:t>
      </w:r>
      <w:r w:rsidR="004101B7" w:rsidRPr="001A5200">
        <w:rPr>
          <w:rFonts w:asciiTheme="majorBidi" w:hAnsiTheme="majorBidi" w:cstheme="majorBidi"/>
          <w:sz w:val="20"/>
          <w:szCs w:val="20"/>
        </w:rPr>
        <w:t xml:space="preserve">Colombo, </w:t>
      </w:r>
      <w:r w:rsidRPr="001A5200">
        <w:rPr>
          <w:rFonts w:asciiTheme="majorBidi" w:hAnsiTheme="majorBidi" w:cstheme="majorBidi"/>
          <w:sz w:val="20"/>
          <w:szCs w:val="20"/>
        </w:rPr>
        <w:t xml:space="preserve">F. </w:t>
      </w:r>
      <w:r w:rsidR="004101B7" w:rsidRPr="001A5200">
        <w:rPr>
          <w:rFonts w:asciiTheme="majorBidi" w:hAnsiTheme="majorBidi" w:cstheme="majorBidi"/>
          <w:sz w:val="20"/>
          <w:szCs w:val="20"/>
        </w:rPr>
        <w:t xml:space="preserve">Achilli, </w:t>
      </w:r>
      <w:r w:rsidRPr="001A5200">
        <w:rPr>
          <w:rFonts w:asciiTheme="majorBidi" w:hAnsiTheme="majorBidi" w:cstheme="majorBidi"/>
          <w:sz w:val="20"/>
          <w:szCs w:val="20"/>
        </w:rPr>
        <w:t xml:space="preserve">S. </w:t>
      </w:r>
      <w:proofErr w:type="spellStart"/>
      <w:r w:rsidR="004101B7" w:rsidRPr="001A5200">
        <w:rPr>
          <w:rFonts w:asciiTheme="majorBidi" w:hAnsiTheme="majorBidi" w:cstheme="majorBidi"/>
          <w:sz w:val="20"/>
          <w:szCs w:val="20"/>
        </w:rPr>
        <w:t>Maggiolini</w:t>
      </w:r>
      <w:proofErr w:type="spellEnd"/>
      <w:r w:rsidR="004101B7" w:rsidRPr="001A5200">
        <w:rPr>
          <w:rFonts w:asciiTheme="majorBidi" w:hAnsiTheme="majorBidi" w:cstheme="majorBidi"/>
          <w:sz w:val="20"/>
          <w:szCs w:val="20"/>
        </w:rPr>
        <w:t xml:space="preserve">, </w:t>
      </w:r>
      <w:r w:rsidRPr="001A5200">
        <w:rPr>
          <w:rFonts w:asciiTheme="majorBidi" w:hAnsiTheme="majorBidi" w:cstheme="majorBidi"/>
          <w:sz w:val="20"/>
          <w:szCs w:val="20"/>
        </w:rPr>
        <w:t xml:space="preserve">M. C. </w:t>
      </w:r>
      <w:proofErr w:type="spellStart"/>
      <w:r w:rsidR="004101B7" w:rsidRPr="001A5200">
        <w:rPr>
          <w:rFonts w:asciiTheme="majorBidi" w:hAnsiTheme="majorBidi" w:cstheme="majorBidi"/>
          <w:sz w:val="20"/>
          <w:szCs w:val="20"/>
        </w:rPr>
        <w:t>Capogrossi</w:t>
      </w:r>
      <w:proofErr w:type="spellEnd"/>
      <w:r w:rsidR="004101B7" w:rsidRPr="001A5200">
        <w:rPr>
          <w:rFonts w:asciiTheme="majorBidi" w:hAnsiTheme="majorBidi" w:cstheme="majorBidi"/>
          <w:sz w:val="20"/>
          <w:szCs w:val="20"/>
        </w:rPr>
        <w:t xml:space="preserve"> &amp; </w:t>
      </w:r>
      <w:r w:rsidRPr="001A5200">
        <w:rPr>
          <w:rFonts w:asciiTheme="majorBidi" w:hAnsiTheme="majorBidi" w:cstheme="majorBidi"/>
          <w:sz w:val="20"/>
          <w:szCs w:val="20"/>
        </w:rPr>
        <w:t xml:space="preserve">G. </w:t>
      </w:r>
      <w:r w:rsidR="004101B7" w:rsidRPr="001A5200">
        <w:rPr>
          <w:rFonts w:asciiTheme="majorBidi" w:hAnsiTheme="majorBidi" w:cstheme="majorBidi"/>
          <w:sz w:val="20"/>
          <w:szCs w:val="20"/>
        </w:rPr>
        <w:t>Pompilio</w:t>
      </w:r>
      <w:r w:rsidRPr="001A5200">
        <w:rPr>
          <w:rFonts w:asciiTheme="majorBidi" w:hAnsiTheme="majorBidi" w:cstheme="majorBidi"/>
          <w:sz w:val="20"/>
          <w:szCs w:val="20"/>
        </w:rPr>
        <w:t xml:space="preserve"> </w:t>
      </w:r>
      <w:r w:rsidR="004101B7" w:rsidRPr="001A5200">
        <w:rPr>
          <w:rFonts w:asciiTheme="majorBidi" w:hAnsiTheme="majorBidi" w:cstheme="majorBidi"/>
          <w:sz w:val="20"/>
          <w:szCs w:val="20"/>
        </w:rPr>
        <w:t xml:space="preserve">(2013). Diagnostic potential of plasmatic MicroRNA signatures in stable and unstable angina. </w:t>
      </w:r>
      <w:proofErr w:type="spellStart"/>
      <w:r w:rsidR="004101B7" w:rsidRPr="001A5200">
        <w:rPr>
          <w:rFonts w:asciiTheme="majorBidi" w:hAnsiTheme="majorBidi" w:cstheme="majorBidi"/>
          <w:sz w:val="20"/>
          <w:szCs w:val="20"/>
        </w:rPr>
        <w:t>PloS</w:t>
      </w:r>
      <w:proofErr w:type="spellEnd"/>
      <w:r w:rsidR="004101B7" w:rsidRPr="001A5200">
        <w:rPr>
          <w:rFonts w:asciiTheme="majorBidi" w:hAnsiTheme="majorBidi" w:cstheme="majorBidi"/>
          <w:sz w:val="20"/>
          <w:szCs w:val="20"/>
        </w:rPr>
        <w:t xml:space="preserve"> one, 8(11), e80345. </w:t>
      </w:r>
    </w:p>
    <w:p w14:paraId="76BA7354" w14:textId="33E203BA" w:rsidR="004101B7" w:rsidRPr="001A5200" w:rsidRDefault="00942D24" w:rsidP="000E6E03">
      <w:pPr>
        <w:pStyle w:val="ListParagraph"/>
        <w:numPr>
          <w:ilvl w:val="0"/>
          <w:numId w:val="18"/>
        </w:numPr>
        <w:bidi w:val="0"/>
        <w:spacing w:after="0" w:line="240" w:lineRule="auto"/>
        <w:ind w:left="360" w:hanging="270"/>
        <w:contextualSpacing w:val="0"/>
        <w:jc w:val="both"/>
        <w:rPr>
          <w:rFonts w:asciiTheme="majorBidi" w:hAnsiTheme="majorBidi" w:cstheme="majorBidi"/>
          <w:sz w:val="20"/>
          <w:szCs w:val="20"/>
        </w:rPr>
      </w:pPr>
      <w:r w:rsidRPr="001A5200">
        <w:rPr>
          <w:rFonts w:asciiTheme="majorBidi" w:hAnsiTheme="majorBidi" w:cstheme="majorBidi"/>
          <w:sz w:val="20"/>
          <w:szCs w:val="20"/>
        </w:rPr>
        <w:t xml:space="preserve">K. </w:t>
      </w:r>
      <w:r w:rsidR="004101B7" w:rsidRPr="001A5200">
        <w:rPr>
          <w:rFonts w:asciiTheme="majorBidi" w:hAnsiTheme="majorBidi" w:cstheme="majorBidi"/>
          <w:sz w:val="20"/>
          <w:szCs w:val="20"/>
        </w:rPr>
        <w:t xml:space="preserve">Ewelina, </w:t>
      </w:r>
      <w:r w:rsidRPr="001A5200">
        <w:rPr>
          <w:rFonts w:asciiTheme="majorBidi" w:hAnsiTheme="majorBidi" w:cstheme="majorBidi"/>
          <w:sz w:val="20"/>
          <w:szCs w:val="20"/>
        </w:rPr>
        <w:t xml:space="preserve">A. </w:t>
      </w:r>
      <w:proofErr w:type="spellStart"/>
      <w:r w:rsidR="004101B7" w:rsidRPr="001A5200">
        <w:rPr>
          <w:rFonts w:asciiTheme="majorBidi" w:hAnsiTheme="majorBidi" w:cstheme="majorBidi"/>
          <w:sz w:val="20"/>
          <w:szCs w:val="20"/>
        </w:rPr>
        <w:t>Eljaszewicz</w:t>
      </w:r>
      <w:proofErr w:type="spellEnd"/>
      <w:r w:rsidR="004101B7" w:rsidRPr="001A5200">
        <w:rPr>
          <w:rFonts w:asciiTheme="majorBidi" w:hAnsiTheme="majorBidi" w:cstheme="majorBidi"/>
          <w:sz w:val="20"/>
          <w:szCs w:val="20"/>
        </w:rPr>
        <w:t xml:space="preserve">, </w:t>
      </w:r>
      <w:r w:rsidRPr="001A5200">
        <w:rPr>
          <w:rFonts w:asciiTheme="majorBidi" w:hAnsiTheme="majorBidi" w:cstheme="majorBidi"/>
          <w:sz w:val="20"/>
          <w:szCs w:val="20"/>
        </w:rPr>
        <w:t xml:space="preserve">R. </w:t>
      </w:r>
      <w:proofErr w:type="spellStart"/>
      <w:r w:rsidR="004101B7" w:rsidRPr="001A5200">
        <w:rPr>
          <w:rFonts w:asciiTheme="majorBidi" w:hAnsiTheme="majorBidi" w:cstheme="majorBidi"/>
          <w:sz w:val="20"/>
          <w:szCs w:val="20"/>
        </w:rPr>
        <w:t>Kazimierczyk</w:t>
      </w:r>
      <w:proofErr w:type="spellEnd"/>
      <w:r w:rsidR="004101B7" w:rsidRPr="001A5200">
        <w:rPr>
          <w:rFonts w:asciiTheme="majorBidi" w:hAnsiTheme="majorBidi" w:cstheme="majorBidi"/>
          <w:sz w:val="20"/>
          <w:szCs w:val="20"/>
        </w:rPr>
        <w:t xml:space="preserve">, </w:t>
      </w:r>
      <w:r w:rsidRPr="001A5200">
        <w:rPr>
          <w:rFonts w:asciiTheme="majorBidi" w:hAnsiTheme="majorBidi" w:cstheme="majorBidi"/>
          <w:sz w:val="20"/>
          <w:szCs w:val="20"/>
        </w:rPr>
        <w:t xml:space="preserve">M. </w:t>
      </w:r>
      <w:proofErr w:type="spellStart"/>
      <w:r w:rsidR="004101B7" w:rsidRPr="001A5200">
        <w:rPr>
          <w:rFonts w:asciiTheme="majorBidi" w:hAnsiTheme="majorBidi" w:cstheme="majorBidi"/>
          <w:sz w:val="20"/>
          <w:szCs w:val="20"/>
        </w:rPr>
        <w:t>Tynecka</w:t>
      </w:r>
      <w:proofErr w:type="spellEnd"/>
      <w:r w:rsidR="004101B7" w:rsidRPr="001A5200">
        <w:rPr>
          <w:rFonts w:asciiTheme="majorBidi" w:hAnsiTheme="majorBidi" w:cstheme="majorBidi"/>
          <w:sz w:val="20"/>
          <w:szCs w:val="20"/>
        </w:rPr>
        <w:t xml:space="preserve">, </w:t>
      </w:r>
      <w:r w:rsidRPr="001A5200">
        <w:rPr>
          <w:rFonts w:asciiTheme="majorBidi" w:hAnsiTheme="majorBidi" w:cstheme="majorBidi"/>
          <w:sz w:val="20"/>
          <w:szCs w:val="20"/>
        </w:rPr>
        <w:t xml:space="preserve">P. </w:t>
      </w:r>
      <w:proofErr w:type="spellStart"/>
      <w:r w:rsidR="004101B7" w:rsidRPr="001A5200">
        <w:rPr>
          <w:rFonts w:asciiTheme="majorBidi" w:hAnsiTheme="majorBidi" w:cstheme="majorBidi"/>
          <w:sz w:val="20"/>
          <w:szCs w:val="20"/>
        </w:rPr>
        <w:t>Zembko</w:t>
      </w:r>
      <w:proofErr w:type="spellEnd"/>
      <w:r w:rsidR="004101B7" w:rsidRPr="001A5200">
        <w:rPr>
          <w:rFonts w:asciiTheme="majorBidi" w:hAnsiTheme="majorBidi" w:cstheme="majorBidi"/>
          <w:sz w:val="20"/>
          <w:szCs w:val="20"/>
        </w:rPr>
        <w:t xml:space="preserve">, </w:t>
      </w:r>
      <w:r w:rsidRPr="001A5200">
        <w:rPr>
          <w:rFonts w:asciiTheme="majorBidi" w:hAnsiTheme="majorBidi" w:cstheme="majorBidi"/>
          <w:sz w:val="20"/>
          <w:szCs w:val="20"/>
        </w:rPr>
        <w:t xml:space="preserve">E. </w:t>
      </w:r>
      <w:proofErr w:type="spellStart"/>
      <w:r w:rsidR="004101B7" w:rsidRPr="001A5200">
        <w:rPr>
          <w:rFonts w:asciiTheme="majorBidi" w:hAnsiTheme="majorBidi" w:cstheme="majorBidi"/>
          <w:sz w:val="20"/>
          <w:szCs w:val="20"/>
        </w:rPr>
        <w:t>Tarasiuk</w:t>
      </w:r>
      <w:proofErr w:type="spellEnd"/>
      <w:r w:rsidR="004101B7" w:rsidRPr="001A5200">
        <w:rPr>
          <w:rFonts w:asciiTheme="majorBidi" w:hAnsiTheme="majorBidi" w:cstheme="majorBidi"/>
          <w:sz w:val="20"/>
          <w:szCs w:val="20"/>
        </w:rPr>
        <w:t xml:space="preserve">, </w:t>
      </w:r>
      <w:r w:rsidRPr="001A5200">
        <w:rPr>
          <w:rFonts w:asciiTheme="majorBidi" w:hAnsiTheme="majorBidi" w:cstheme="majorBidi"/>
          <w:sz w:val="20"/>
          <w:szCs w:val="20"/>
        </w:rPr>
        <w:t xml:space="preserve">K. </w:t>
      </w:r>
      <w:r w:rsidR="004101B7" w:rsidRPr="001A5200">
        <w:rPr>
          <w:rFonts w:asciiTheme="majorBidi" w:hAnsiTheme="majorBidi" w:cstheme="majorBidi"/>
          <w:sz w:val="20"/>
          <w:szCs w:val="20"/>
        </w:rPr>
        <w:t xml:space="preserve">Kaminski, </w:t>
      </w:r>
      <w:r w:rsidRPr="001A5200">
        <w:rPr>
          <w:rFonts w:asciiTheme="majorBidi" w:hAnsiTheme="majorBidi" w:cstheme="majorBidi"/>
          <w:sz w:val="20"/>
          <w:szCs w:val="20"/>
        </w:rPr>
        <w:t xml:space="preserve">B. </w:t>
      </w:r>
      <w:r w:rsidR="004101B7" w:rsidRPr="001A5200">
        <w:rPr>
          <w:rFonts w:asciiTheme="majorBidi" w:hAnsiTheme="majorBidi" w:cstheme="majorBidi"/>
          <w:sz w:val="20"/>
          <w:szCs w:val="20"/>
        </w:rPr>
        <w:t xml:space="preserve">Sobkowicz, </w:t>
      </w:r>
      <w:r w:rsidRPr="001A5200">
        <w:rPr>
          <w:rFonts w:asciiTheme="majorBidi" w:hAnsiTheme="majorBidi" w:cstheme="majorBidi"/>
          <w:sz w:val="20"/>
          <w:szCs w:val="20"/>
        </w:rPr>
        <w:t xml:space="preserve">M. </w:t>
      </w:r>
      <w:r w:rsidR="004101B7" w:rsidRPr="001A5200">
        <w:rPr>
          <w:rFonts w:asciiTheme="majorBidi" w:hAnsiTheme="majorBidi" w:cstheme="majorBidi"/>
          <w:sz w:val="20"/>
          <w:szCs w:val="20"/>
        </w:rPr>
        <w:t xml:space="preserve">Moniuszko, &amp; </w:t>
      </w:r>
      <w:r w:rsidRPr="001A5200">
        <w:rPr>
          <w:rFonts w:asciiTheme="majorBidi" w:hAnsiTheme="majorBidi" w:cstheme="majorBidi"/>
          <w:sz w:val="20"/>
          <w:szCs w:val="20"/>
        </w:rPr>
        <w:t xml:space="preserve">A. </w:t>
      </w:r>
      <w:proofErr w:type="spellStart"/>
      <w:r w:rsidR="004101B7" w:rsidRPr="001A5200">
        <w:rPr>
          <w:rFonts w:asciiTheme="majorBidi" w:hAnsiTheme="majorBidi" w:cstheme="majorBidi"/>
          <w:sz w:val="20"/>
          <w:szCs w:val="20"/>
        </w:rPr>
        <w:t>Tycinska</w:t>
      </w:r>
      <w:proofErr w:type="spellEnd"/>
      <w:r w:rsidRPr="001A5200">
        <w:rPr>
          <w:rFonts w:asciiTheme="majorBidi" w:hAnsiTheme="majorBidi" w:cstheme="majorBidi"/>
          <w:sz w:val="20"/>
          <w:szCs w:val="20"/>
        </w:rPr>
        <w:t xml:space="preserve"> </w:t>
      </w:r>
      <w:r w:rsidR="004101B7" w:rsidRPr="001A5200">
        <w:rPr>
          <w:rFonts w:asciiTheme="majorBidi" w:hAnsiTheme="majorBidi" w:cstheme="majorBidi"/>
          <w:sz w:val="20"/>
          <w:szCs w:val="20"/>
        </w:rPr>
        <w:t>(2020). Altered microRNA dynamics in acute coronary syndrome. Advances in interventional cardiology, 16(3), 287–293.https://doi.org/10.5114/aic.2020.99263.</w:t>
      </w:r>
    </w:p>
    <w:p w14:paraId="2E15F34D" w14:textId="77777777" w:rsidR="00EA5D44" w:rsidRPr="001A5200" w:rsidRDefault="00EA5D44" w:rsidP="00505EA3">
      <w:pPr>
        <w:pStyle w:val="ListParagraph"/>
        <w:bidi w:val="0"/>
        <w:spacing w:after="0" w:line="240" w:lineRule="auto"/>
        <w:ind w:left="360"/>
        <w:contextualSpacing w:val="0"/>
        <w:jc w:val="both"/>
        <w:rPr>
          <w:rFonts w:asciiTheme="majorBidi" w:hAnsiTheme="majorBidi" w:cstheme="majorBidi"/>
          <w:sz w:val="20"/>
          <w:szCs w:val="20"/>
        </w:rPr>
      </w:pPr>
    </w:p>
    <w:sectPr w:rsidR="00EA5D44" w:rsidRPr="001A5200" w:rsidSect="00B83D64">
      <w:type w:val="continuous"/>
      <w:pgSz w:w="11909" w:h="16834" w:code="9"/>
      <w:pgMar w:top="1440" w:right="929"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AB9E" w14:textId="77777777" w:rsidR="00B83D64" w:rsidRDefault="00B83D64" w:rsidP="001344BD">
      <w:pPr>
        <w:spacing w:after="0" w:line="240" w:lineRule="auto"/>
      </w:pPr>
      <w:r>
        <w:separator/>
      </w:r>
    </w:p>
  </w:endnote>
  <w:endnote w:type="continuationSeparator" w:id="0">
    <w:p w14:paraId="55EB5683" w14:textId="77777777" w:rsidR="00B83D64" w:rsidRDefault="00B83D64" w:rsidP="0013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dvTimes">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9A97" w14:textId="77777777" w:rsidR="000E6E03" w:rsidRPr="000E6E03" w:rsidRDefault="000E6E03" w:rsidP="000E6E03">
    <w:pPr>
      <w:bidi w:val="0"/>
      <w:spacing w:after="0" w:line="259" w:lineRule="auto"/>
      <w:ind w:left="10" w:hanging="10"/>
      <w:jc w:val="right"/>
      <w:rPr>
        <w:rFonts w:ascii="Times New Roman" w:eastAsia="Calibri" w:hAnsi="Times New Roman" w:cs="Times New Roman"/>
        <w:b/>
        <w:bCs/>
        <w:lang w:bidi="ar-EG"/>
      </w:rPr>
    </w:pPr>
    <w:r w:rsidRPr="000E6E03">
      <w:rPr>
        <w:rFonts w:ascii="Times New Roman" w:hAnsi="Times New Roman" w:cs="Times New Roman"/>
        <w:color w:val="000000"/>
        <w:sz w:val="28"/>
      </w:rPr>
      <w:tab/>
    </w:r>
    <w:proofErr w:type="spellStart"/>
    <w:r w:rsidRPr="000E6E03">
      <w:rPr>
        <w:rFonts w:ascii="Times New Roman" w:eastAsia="Calibri" w:hAnsi="Times New Roman" w:cs="Times New Roman"/>
        <w:b/>
        <w:bCs/>
        <w:sz w:val="20"/>
        <w:szCs w:val="20"/>
      </w:rPr>
      <w:t>Benha</w:t>
    </w:r>
    <w:proofErr w:type="spellEnd"/>
    <w:r w:rsidRPr="000E6E03">
      <w:rPr>
        <w:rFonts w:ascii="Times New Roman" w:eastAsia="Calibri" w:hAnsi="Times New Roman" w:cs="Times New Roman"/>
        <w:b/>
        <w:bCs/>
        <w:sz w:val="20"/>
        <w:szCs w:val="20"/>
      </w:rPr>
      <w:t xml:space="preserve"> Journal of Applied Sciences, Vol. (9) Issue (*) (2024</w:t>
    </w:r>
    <w:r w:rsidRPr="000E6E03">
      <w:rPr>
        <w:rFonts w:ascii="Times New Roman" w:eastAsia="Calibri" w:hAnsi="Times New Roman" w:cs="Times New Roman"/>
        <w:b/>
        <w:bCs/>
        <w:sz w:val="20"/>
        <w:szCs w:val="20"/>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354B" w14:textId="77777777" w:rsidR="000E6E03" w:rsidRPr="000E6E03" w:rsidRDefault="000E6E03" w:rsidP="000E6E03">
    <w:pPr>
      <w:bidi w:val="0"/>
      <w:spacing w:after="0" w:line="259" w:lineRule="auto"/>
      <w:ind w:left="10" w:hanging="10"/>
      <w:jc w:val="right"/>
      <w:rPr>
        <w:rFonts w:ascii="Times New Roman" w:eastAsia="Calibri" w:hAnsi="Times New Roman" w:cs="Times New Roman"/>
        <w:b/>
        <w:bCs/>
        <w:lang w:bidi="ar-EG"/>
      </w:rPr>
    </w:pPr>
    <w:r w:rsidRPr="000E6E03">
      <w:rPr>
        <w:rFonts w:ascii="Times New Roman" w:hAnsi="Times New Roman" w:cs="Times New Roman"/>
        <w:color w:val="000000"/>
        <w:sz w:val="28"/>
      </w:rPr>
      <w:tab/>
    </w:r>
    <w:proofErr w:type="spellStart"/>
    <w:r w:rsidRPr="000E6E03">
      <w:rPr>
        <w:rFonts w:ascii="Times New Roman" w:eastAsia="Calibri" w:hAnsi="Times New Roman" w:cs="Times New Roman"/>
        <w:b/>
        <w:bCs/>
        <w:sz w:val="20"/>
        <w:szCs w:val="20"/>
      </w:rPr>
      <w:t>Benha</w:t>
    </w:r>
    <w:proofErr w:type="spellEnd"/>
    <w:r w:rsidRPr="000E6E03">
      <w:rPr>
        <w:rFonts w:ascii="Times New Roman" w:eastAsia="Calibri" w:hAnsi="Times New Roman" w:cs="Times New Roman"/>
        <w:b/>
        <w:bCs/>
        <w:sz w:val="20"/>
        <w:szCs w:val="20"/>
      </w:rPr>
      <w:t xml:space="preserve"> Journal of Applied Sciences, Vol. (9) Issue (*) (2024</w:t>
    </w:r>
    <w:r w:rsidRPr="000E6E03">
      <w:rPr>
        <w:rFonts w:ascii="Times New Roman" w:eastAsia="Calibri" w:hAnsi="Times New Roman" w:cs="Times New Roman"/>
        <w:b/>
        <w:bCs/>
        <w:sz w:val="20"/>
        <w:szCs w:val="20"/>
        <w:rt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254C" w14:textId="77777777" w:rsidR="000E6E03" w:rsidRPr="000E6E03" w:rsidRDefault="000E6E03" w:rsidP="000E6E03">
    <w:pPr>
      <w:bidi w:val="0"/>
      <w:spacing w:after="0" w:line="259" w:lineRule="auto"/>
      <w:ind w:left="10" w:hanging="10"/>
      <w:jc w:val="right"/>
      <w:rPr>
        <w:rFonts w:ascii="Times New Roman" w:eastAsia="Calibri" w:hAnsi="Times New Roman" w:cs="Times New Roman"/>
        <w:b/>
        <w:bCs/>
        <w:lang w:bidi="ar-EG"/>
      </w:rPr>
    </w:pPr>
    <w:r w:rsidRPr="000E6E03">
      <w:rPr>
        <w:rFonts w:ascii="Times New Roman" w:hAnsi="Times New Roman" w:cs="Times New Roman"/>
        <w:color w:val="000000"/>
        <w:sz w:val="28"/>
      </w:rPr>
      <w:tab/>
    </w:r>
    <w:proofErr w:type="spellStart"/>
    <w:r w:rsidRPr="000E6E03">
      <w:rPr>
        <w:rFonts w:ascii="Times New Roman" w:eastAsia="Calibri" w:hAnsi="Times New Roman" w:cs="Times New Roman"/>
        <w:b/>
        <w:bCs/>
        <w:sz w:val="20"/>
        <w:szCs w:val="20"/>
      </w:rPr>
      <w:t>Benha</w:t>
    </w:r>
    <w:proofErr w:type="spellEnd"/>
    <w:r w:rsidRPr="000E6E03">
      <w:rPr>
        <w:rFonts w:ascii="Times New Roman" w:eastAsia="Calibri" w:hAnsi="Times New Roman" w:cs="Times New Roman"/>
        <w:b/>
        <w:bCs/>
        <w:sz w:val="20"/>
        <w:szCs w:val="20"/>
      </w:rPr>
      <w:t xml:space="preserve"> Journal of Applied Sciences, Vol. (9) Issue (*) (2024</w:t>
    </w:r>
    <w:r w:rsidRPr="000E6E03">
      <w:rPr>
        <w:rFonts w:ascii="Times New Roman" w:eastAsia="Calibri" w:hAnsi="Times New Roman" w:cs="Times New Roman"/>
        <w:b/>
        <w:bCs/>
        <w:sz w:val="20"/>
        <w:szCs w:val="20"/>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10B7" w14:textId="77777777" w:rsidR="00B83D64" w:rsidRDefault="00B83D64" w:rsidP="001344BD">
      <w:pPr>
        <w:spacing w:after="0" w:line="240" w:lineRule="auto"/>
      </w:pPr>
      <w:r>
        <w:separator/>
      </w:r>
    </w:p>
  </w:footnote>
  <w:footnote w:type="continuationSeparator" w:id="0">
    <w:p w14:paraId="541B40F7" w14:textId="77777777" w:rsidR="00B83D64" w:rsidRDefault="00B83D64" w:rsidP="00134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b/>
        <w:bCs/>
        <w:sz w:val="20"/>
        <w:szCs w:val="20"/>
      </w:rPr>
      <w:id w:val="-1281182997"/>
      <w:docPartObj>
        <w:docPartGallery w:val="Page Numbers (Top of Page)"/>
        <w:docPartUnique/>
      </w:docPartObj>
    </w:sdtPr>
    <w:sdtEndPr>
      <w:rPr>
        <w:noProof/>
      </w:rPr>
    </w:sdtEndPr>
    <w:sdtContent>
      <w:p w14:paraId="30709337" w14:textId="29286BF5" w:rsidR="000E6E03" w:rsidRPr="000E6E03" w:rsidRDefault="000E6E03" w:rsidP="000E6E03">
        <w:pPr>
          <w:pStyle w:val="Header"/>
          <w:bidi w:val="0"/>
          <w:rPr>
            <w:rFonts w:asciiTheme="majorBidi" w:hAnsiTheme="majorBidi" w:cstheme="majorBidi"/>
            <w:b/>
            <w:bCs/>
            <w:sz w:val="20"/>
            <w:szCs w:val="20"/>
          </w:rPr>
        </w:pPr>
        <w:r w:rsidRPr="000E6E03">
          <w:rPr>
            <w:rFonts w:asciiTheme="majorBidi" w:hAnsiTheme="majorBidi" w:cstheme="majorBidi"/>
            <w:b/>
            <w:bCs/>
            <w:sz w:val="20"/>
            <w:szCs w:val="20"/>
          </w:rPr>
          <w:fldChar w:fldCharType="begin"/>
        </w:r>
        <w:r w:rsidRPr="000E6E03">
          <w:rPr>
            <w:rFonts w:asciiTheme="majorBidi" w:hAnsiTheme="majorBidi" w:cstheme="majorBidi"/>
            <w:b/>
            <w:bCs/>
            <w:sz w:val="20"/>
            <w:szCs w:val="20"/>
          </w:rPr>
          <w:instrText xml:space="preserve"> PAGE   \* MERGEFORMAT </w:instrText>
        </w:r>
        <w:r w:rsidRPr="000E6E03">
          <w:rPr>
            <w:rFonts w:asciiTheme="majorBidi" w:hAnsiTheme="majorBidi" w:cstheme="majorBidi"/>
            <w:b/>
            <w:bCs/>
            <w:sz w:val="20"/>
            <w:szCs w:val="20"/>
          </w:rPr>
          <w:fldChar w:fldCharType="separate"/>
        </w:r>
        <w:r w:rsidRPr="000E6E03">
          <w:rPr>
            <w:rFonts w:asciiTheme="majorBidi" w:hAnsiTheme="majorBidi" w:cstheme="majorBidi"/>
            <w:b/>
            <w:bCs/>
            <w:noProof/>
            <w:sz w:val="20"/>
            <w:szCs w:val="20"/>
          </w:rPr>
          <w:t>2</w:t>
        </w:r>
        <w:r w:rsidRPr="000E6E03">
          <w:rPr>
            <w:rFonts w:asciiTheme="majorBidi" w:hAnsiTheme="majorBidi" w:cstheme="majorBidi"/>
            <w:b/>
            <w:bCs/>
            <w:noProof/>
            <w:sz w:val="20"/>
            <w:szCs w:val="20"/>
          </w:rPr>
          <w:fldChar w:fldCharType="end"/>
        </w:r>
        <w:r w:rsidRPr="000E6E03">
          <w:t xml:space="preserve"> </w:t>
        </w:r>
        <w:r>
          <w:t xml:space="preserve"> </w:t>
        </w:r>
        <w:r w:rsidRPr="000E6E03">
          <w:rPr>
            <w:rFonts w:asciiTheme="majorBidi" w:hAnsiTheme="majorBidi" w:cstheme="majorBidi"/>
            <w:b/>
            <w:bCs/>
            <w:noProof/>
            <w:sz w:val="20"/>
            <w:szCs w:val="20"/>
          </w:rPr>
          <w:t>Role of MicroRNA-1 as Diagnostic and Differentiating Biomarker between Acute Anterior Myocardial Infarction</w:t>
        </w:r>
      </w:p>
    </w:sdtContent>
  </w:sdt>
  <w:p w14:paraId="7A5BF618" w14:textId="77777777" w:rsidR="000E6E03" w:rsidRPr="000E6E03" w:rsidRDefault="000E6E03" w:rsidP="000E6E03">
    <w:pPr>
      <w:pStyle w:val="Header"/>
      <w:bidi w:val="0"/>
      <w:rPr>
        <w:rFonts w:asciiTheme="majorBidi" w:hAnsiTheme="majorBidi" w:cstheme="majorBidi"/>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b/>
        <w:bCs/>
        <w:sz w:val="19"/>
        <w:szCs w:val="19"/>
      </w:rPr>
      <w:id w:val="302894861"/>
      <w:docPartObj>
        <w:docPartGallery w:val="Page Numbers (Top of Page)"/>
        <w:docPartUnique/>
      </w:docPartObj>
    </w:sdtPr>
    <w:sdtEndPr>
      <w:rPr>
        <w:noProof/>
      </w:rPr>
    </w:sdtEndPr>
    <w:sdtContent>
      <w:p w14:paraId="244FCFB8" w14:textId="14E2F7BB" w:rsidR="000E6E03" w:rsidRPr="000E6E03" w:rsidRDefault="000E6E03" w:rsidP="000E6E03">
        <w:pPr>
          <w:pStyle w:val="Header"/>
          <w:bidi w:val="0"/>
          <w:rPr>
            <w:rFonts w:asciiTheme="majorBidi" w:hAnsiTheme="majorBidi" w:cstheme="majorBidi"/>
            <w:b/>
            <w:bCs/>
            <w:sz w:val="19"/>
            <w:szCs w:val="19"/>
          </w:rPr>
        </w:pPr>
        <w:r w:rsidRPr="000E6E03">
          <w:rPr>
            <w:rFonts w:asciiTheme="majorBidi" w:hAnsiTheme="majorBidi" w:cstheme="majorBidi"/>
            <w:b/>
            <w:bCs/>
            <w:sz w:val="19"/>
            <w:szCs w:val="19"/>
          </w:rPr>
          <w:t xml:space="preserve">Samah M. Abd El </w:t>
        </w:r>
        <w:proofErr w:type="spellStart"/>
        <w:r w:rsidRPr="000E6E03">
          <w:rPr>
            <w:rFonts w:asciiTheme="majorBidi" w:hAnsiTheme="majorBidi" w:cstheme="majorBidi"/>
            <w:b/>
            <w:bCs/>
            <w:sz w:val="19"/>
            <w:szCs w:val="19"/>
          </w:rPr>
          <w:t>khalek</w:t>
        </w:r>
        <w:proofErr w:type="spellEnd"/>
        <w:r w:rsidRPr="000E6E03">
          <w:rPr>
            <w:rFonts w:asciiTheme="majorBidi" w:hAnsiTheme="majorBidi" w:cstheme="majorBidi"/>
            <w:b/>
            <w:bCs/>
            <w:sz w:val="19"/>
            <w:szCs w:val="19"/>
          </w:rPr>
          <w:t xml:space="preserve">, Azza M. El </w:t>
        </w:r>
        <w:proofErr w:type="spellStart"/>
        <w:r w:rsidRPr="000E6E03">
          <w:rPr>
            <w:rFonts w:asciiTheme="majorBidi" w:hAnsiTheme="majorBidi" w:cstheme="majorBidi"/>
            <w:b/>
            <w:bCs/>
            <w:sz w:val="19"/>
            <w:szCs w:val="19"/>
          </w:rPr>
          <w:t>Bermawy</w:t>
        </w:r>
        <w:proofErr w:type="spellEnd"/>
        <w:r w:rsidRPr="000E6E03">
          <w:rPr>
            <w:rFonts w:asciiTheme="majorBidi" w:hAnsiTheme="majorBidi" w:cstheme="majorBidi"/>
            <w:b/>
            <w:bCs/>
            <w:sz w:val="19"/>
            <w:szCs w:val="19"/>
          </w:rPr>
          <w:t xml:space="preserve">, Heba A. Mansour, Shaymaa M. Abd EL </w:t>
        </w:r>
        <w:proofErr w:type="gramStart"/>
        <w:r w:rsidRPr="000E6E03">
          <w:rPr>
            <w:rFonts w:asciiTheme="majorBidi" w:hAnsiTheme="majorBidi" w:cstheme="majorBidi"/>
            <w:b/>
            <w:bCs/>
            <w:sz w:val="19"/>
            <w:szCs w:val="19"/>
          </w:rPr>
          <w:t>Rahman</w:t>
        </w:r>
        <w:proofErr w:type="gramEnd"/>
        <w:r w:rsidRPr="000E6E03">
          <w:rPr>
            <w:rFonts w:asciiTheme="majorBidi" w:hAnsiTheme="majorBidi" w:cstheme="majorBidi"/>
            <w:b/>
            <w:bCs/>
            <w:sz w:val="19"/>
            <w:szCs w:val="19"/>
          </w:rPr>
          <w:t xml:space="preserve"> and Hend E. Nasr</w:t>
        </w:r>
        <w:r>
          <w:rPr>
            <w:rFonts w:asciiTheme="majorBidi" w:hAnsiTheme="majorBidi" w:cstheme="majorBidi"/>
            <w:b/>
            <w:bCs/>
            <w:sz w:val="19"/>
            <w:szCs w:val="19"/>
          </w:rPr>
          <w:t xml:space="preserve">     </w:t>
        </w:r>
        <w:r w:rsidRPr="000E6E03">
          <w:rPr>
            <w:rFonts w:asciiTheme="majorBidi" w:hAnsiTheme="majorBidi" w:cstheme="majorBidi"/>
            <w:b/>
            <w:bCs/>
            <w:sz w:val="19"/>
            <w:szCs w:val="19"/>
          </w:rPr>
          <w:t xml:space="preserve"> </w:t>
        </w:r>
        <w:r w:rsidRPr="000E6E03">
          <w:rPr>
            <w:rFonts w:asciiTheme="majorBidi" w:hAnsiTheme="majorBidi" w:cstheme="majorBidi"/>
            <w:b/>
            <w:bCs/>
            <w:sz w:val="19"/>
            <w:szCs w:val="19"/>
          </w:rPr>
          <w:fldChar w:fldCharType="begin"/>
        </w:r>
        <w:r w:rsidRPr="000E6E03">
          <w:rPr>
            <w:rFonts w:asciiTheme="majorBidi" w:hAnsiTheme="majorBidi" w:cstheme="majorBidi"/>
            <w:b/>
            <w:bCs/>
            <w:sz w:val="19"/>
            <w:szCs w:val="19"/>
          </w:rPr>
          <w:instrText xml:space="preserve"> PAGE   \* MERGEFORMAT </w:instrText>
        </w:r>
        <w:r w:rsidRPr="000E6E03">
          <w:rPr>
            <w:rFonts w:asciiTheme="majorBidi" w:hAnsiTheme="majorBidi" w:cstheme="majorBidi"/>
            <w:b/>
            <w:bCs/>
            <w:sz w:val="19"/>
            <w:szCs w:val="19"/>
          </w:rPr>
          <w:fldChar w:fldCharType="separate"/>
        </w:r>
        <w:r w:rsidRPr="000E6E03">
          <w:rPr>
            <w:rFonts w:asciiTheme="majorBidi" w:hAnsiTheme="majorBidi" w:cstheme="majorBidi"/>
            <w:b/>
            <w:bCs/>
            <w:noProof/>
            <w:sz w:val="19"/>
            <w:szCs w:val="19"/>
          </w:rPr>
          <w:t>2</w:t>
        </w:r>
        <w:r w:rsidRPr="000E6E03">
          <w:rPr>
            <w:rFonts w:asciiTheme="majorBidi" w:hAnsiTheme="majorBidi" w:cstheme="majorBidi"/>
            <w:b/>
            <w:bCs/>
            <w:noProof/>
            <w:sz w:val="19"/>
            <w:szCs w:val="19"/>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6D34" w14:textId="0D9E0665" w:rsidR="000E6E03" w:rsidRPr="000E6E03" w:rsidRDefault="000E6E03" w:rsidP="000E6E03">
    <w:pPr>
      <w:bidi w:val="0"/>
      <w:spacing w:after="0" w:line="240" w:lineRule="auto"/>
      <w:rPr>
        <w:rFonts w:ascii="Times New Roman" w:hAnsi="Times New Roman" w:cs="Times New Roman"/>
        <w:b/>
        <w:bCs/>
        <w:color w:val="000000"/>
        <w:sz w:val="20"/>
        <w:szCs w:val="20"/>
        <w:lang w:eastAsia="ar-SA"/>
      </w:rPr>
    </w:pPr>
    <w:proofErr w:type="spellStart"/>
    <w:r w:rsidRPr="000E6E03">
      <w:rPr>
        <w:rFonts w:ascii="Times New Roman" w:hAnsi="Times New Roman" w:cs="Times New Roman"/>
        <w:b/>
        <w:bCs/>
        <w:sz w:val="20"/>
        <w:szCs w:val="20"/>
        <w:lang w:eastAsia="ar-SA"/>
      </w:rPr>
      <w:t>Benha</w:t>
    </w:r>
    <w:proofErr w:type="spellEnd"/>
    <w:r w:rsidRPr="000E6E03">
      <w:rPr>
        <w:rFonts w:ascii="Times New Roman" w:hAnsi="Times New Roman" w:cs="Times New Roman"/>
        <w:b/>
        <w:bCs/>
        <w:sz w:val="20"/>
        <w:szCs w:val="20"/>
        <w:lang w:eastAsia="ar-SA"/>
      </w:rPr>
      <w:t xml:space="preserve"> Journal of Applied Sciences (</w:t>
    </w:r>
    <w:proofErr w:type="gramStart"/>
    <w:r w:rsidRPr="000E6E03">
      <w:rPr>
        <w:rFonts w:ascii="Times New Roman" w:hAnsi="Times New Roman" w:cs="Times New Roman"/>
        <w:b/>
        <w:bCs/>
        <w:sz w:val="20"/>
        <w:szCs w:val="20"/>
        <w:lang w:eastAsia="ar-SA"/>
      </w:rPr>
      <w:t>BJAS)</w:t>
    </w:r>
    <w:r w:rsidRPr="000E6E03">
      <w:rPr>
        <w:rFonts w:ascii="Times New Roman" w:hAnsi="Times New Roman" w:cs="Times New Roman"/>
        <w:b/>
        <w:bCs/>
        <w:color w:val="000000"/>
        <w:sz w:val="20"/>
        <w:szCs w:val="20"/>
        <w:lang w:eastAsia="ar-SA"/>
      </w:rPr>
      <w:t xml:space="preserve">   </w:t>
    </w:r>
    <w:proofErr w:type="gramEnd"/>
    <w:r w:rsidRPr="000E6E03">
      <w:rPr>
        <w:rFonts w:ascii="Times New Roman" w:hAnsi="Times New Roman" w:cs="Times New Roman" w:hint="cs"/>
        <w:b/>
        <w:bCs/>
        <w:color w:val="000000"/>
        <w:sz w:val="20"/>
        <w:szCs w:val="20"/>
        <w:rtl/>
        <w:lang w:eastAsia="ar-SA"/>
      </w:rPr>
      <w:t xml:space="preserve">      </w:t>
    </w:r>
    <w:r w:rsidRPr="000E6E03">
      <w:rPr>
        <w:rFonts w:ascii="Times New Roman" w:hAnsi="Times New Roman" w:cs="Times New Roman"/>
        <w:b/>
        <w:bCs/>
        <w:color w:val="000000"/>
        <w:sz w:val="20"/>
        <w:szCs w:val="20"/>
        <w:lang w:eastAsia="ar-SA"/>
      </w:rPr>
      <w:t xml:space="preserve">  </w:t>
    </w:r>
    <w:r w:rsidRPr="000E6E03">
      <w:rPr>
        <w:rFonts w:ascii="Times New Roman" w:hAnsi="Times New Roman" w:cs="Times New Roman" w:hint="cs"/>
        <w:b/>
        <w:bCs/>
        <w:color w:val="000000"/>
        <w:sz w:val="20"/>
        <w:szCs w:val="20"/>
        <w:rtl/>
        <w:lang w:eastAsia="ar-SA"/>
      </w:rPr>
      <w:t xml:space="preserve">          </w:t>
    </w:r>
    <w:r w:rsidRPr="000E6E03">
      <w:rPr>
        <w:rFonts w:ascii="Times New Roman" w:hAnsi="Times New Roman" w:cs="Times New Roman"/>
        <w:b/>
        <w:bCs/>
        <w:color w:val="000000"/>
        <w:sz w:val="20"/>
        <w:szCs w:val="20"/>
        <w:lang w:eastAsia="ar-SA"/>
      </w:rPr>
      <w:t xml:space="preserve">            </w:t>
    </w:r>
    <w:r w:rsidRPr="000E6E03">
      <w:rPr>
        <w:rFonts w:ascii="Times New Roman" w:hAnsi="Times New Roman" w:cs="Times New Roman" w:hint="cs"/>
        <w:b/>
        <w:bCs/>
        <w:color w:val="000000"/>
        <w:sz w:val="20"/>
        <w:szCs w:val="20"/>
        <w:rtl/>
        <w:lang w:eastAsia="ar-SA"/>
      </w:rPr>
      <w:t xml:space="preserve">     </w:t>
    </w:r>
    <w:r w:rsidRPr="000E6E03">
      <w:rPr>
        <w:rFonts w:ascii="Times New Roman" w:hAnsi="Times New Roman" w:cs="Times New Roman"/>
        <w:b/>
        <w:bCs/>
        <w:color w:val="000000"/>
        <w:sz w:val="20"/>
        <w:szCs w:val="20"/>
        <w:lang w:eastAsia="ar-SA"/>
      </w:rPr>
      <w:t xml:space="preserve">               </w:t>
    </w:r>
    <w:r w:rsidRPr="000E6E03">
      <w:rPr>
        <w:rFonts w:ascii="Times New Roman" w:hAnsi="Times New Roman" w:cs="Times New Roman" w:hint="cs"/>
        <w:b/>
        <w:bCs/>
        <w:color w:val="000000"/>
        <w:sz w:val="20"/>
        <w:szCs w:val="20"/>
        <w:rtl/>
        <w:lang w:eastAsia="ar-SA"/>
      </w:rPr>
      <w:t xml:space="preserve">       </w:t>
    </w:r>
    <w:r w:rsidRPr="000E6E03">
      <w:rPr>
        <w:rFonts w:ascii="Times New Roman" w:hAnsi="Times New Roman" w:cs="Times New Roman"/>
        <w:b/>
        <w:bCs/>
        <w:color w:val="000000"/>
        <w:sz w:val="20"/>
        <w:szCs w:val="20"/>
        <w:lang w:eastAsia="ar-SA"/>
      </w:rPr>
      <w:t xml:space="preserve">             </w:t>
    </w:r>
    <w:r>
      <w:rPr>
        <w:rFonts w:ascii="Times New Roman" w:hAnsi="Times New Roman" w:cs="Times New Roman"/>
        <w:b/>
        <w:bCs/>
        <w:color w:val="000000"/>
        <w:sz w:val="20"/>
        <w:szCs w:val="20"/>
        <w:lang w:eastAsia="ar-SA"/>
      </w:rPr>
      <w:t xml:space="preserve">         </w:t>
    </w:r>
    <w:r w:rsidRPr="000E6E03">
      <w:rPr>
        <w:rFonts w:ascii="Times New Roman" w:hAnsi="Times New Roman" w:cs="Times New Roman" w:hint="cs"/>
        <w:b/>
        <w:bCs/>
        <w:color w:val="000000"/>
        <w:sz w:val="20"/>
        <w:szCs w:val="20"/>
        <w:rtl/>
        <w:lang w:eastAsia="ar-SA"/>
      </w:rPr>
      <w:t xml:space="preserve"> </w:t>
    </w:r>
    <w:r w:rsidRPr="000E6E03">
      <w:rPr>
        <w:rFonts w:ascii="Times New Roman" w:hAnsi="Times New Roman" w:cs="Times New Roman"/>
        <w:b/>
        <w:bCs/>
        <w:color w:val="000000"/>
        <w:sz w:val="20"/>
        <w:szCs w:val="20"/>
        <w:lang w:eastAsia="ar-SA"/>
      </w:rPr>
      <w:t xml:space="preserve"> print: ISSN 2356–9751</w:t>
    </w:r>
  </w:p>
  <w:p w14:paraId="0762223C" w14:textId="4C04A741" w:rsidR="000E6E03" w:rsidRPr="000E6E03" w:rsidRDefault="000E6E03" w:rsidP="000E6E03">
    <w:pPr>
      <w:bidi w:val="0"/>
      <w:spacing w:after="0" w:line="240" w:lineRule="auto"/>
      <w:rPr>
        <w:rFonts w:ascii="Times New Roman" w:hAnsi="Times New Roman" w:cs="Times New Roman"/>
        <w:b/>
        <w:bCs/>
        <w:color w:val="000000"/>
        <w:sz w:val="20"/>
        <w:szCs w:val="20"/>
        <w:lang w:eastAsia="ar-SA"/>
      </w:rPr>
    </w:pPr>
    <w:r w:rsidRPr="000E6E03">
      <w:rPr>
        <w:rFonts w:ascii="Times New Roman" w:hAnsi="Times New Roman" w:cs="Times New Roman"/>
        <w:b/>
        <w:bCs/>
        <w:sz w:val="20"/>
        <w:szCs w:val="20"/>
        <w:lang w:eastAsia="ar-SA" w:bidi="ar-EG"/>
      </w:rPr>
      <w:t>Vol. (9) Issue (*) (2024), (</w:t>
    </w:r>
    <w:r w:rsidRPr="000E6E03">
      <w:rPr>
        <w:rFonts w:ascii="Times New Roman" w:hAnsi="Times New Roman" w:cs="Times New Roman"/>
        <w:b/>
        <w:bCs/>
        <w:color w:val="000000"/>
        <w:sz w:val="20"/>
        <w:szCs w:val="20"/>
        <w:lang w:eastAsia="ar-SA" w:bidi="ar-EG"/>
      </w:rPr>
      <w:t>***-***</w:t>
    </w:r>
    <w:r w:rsidRPr="000E6E03">
      <w:rPr>
        <w:rFonts w:ascii="Times New Roman" w:hAnsi="Times New Roman" w:cs="Times New Roman"/>
        <w:b/>
        <w:bCs/>
        <w:color w:val="000000"/>
        <w:sz w:val="20"/>
        <w:szCs w:val="20"/>
        <w:lang w:eastAsia="ar-SA"/>
      </w:rPr>
      <w:t xml:space="preserve">)    </w:t>
    </w:r>
    <w:r w:rsidRPr="000E6E03">
      <w:rPr>
        <w:rFonts w:ascii="Times New Roman" w:hAnsi="Times New Roman" w:cs="Times New Roman" w:hint="cs"/>
        <w:b/>
        <w:bCs/>
        <w:color w:val="000000"/>
        <w:sz w:val="20"/>
        <w:szCs w:val="20"/>
        <w:rtl/>
        <w:lang w:eastAsia="ar-SA"/>
      </w:rPr>
      <w:t xml:space="preserve"> </w:t>
    </w:r>
    <w:r w:rsidRPr="000E6E03">
      <w:rPr>
        <w:rFonts w:ascii="Times New Roman" w:hAnsi="Times New Roman" w:cs="Times New Roman"/>
        <w:b/>
        <w:bCs/>
        <w:color w:val="000000"/>
        <w:sz w:val="20"/>
        <w:szCs w:val="20"/>
        <w:lang w:eastAsia="ar-SA"/>
      </w:rPr>
      <w:t xml:space="preserve">                              </w:t>
    </w:r>
    <w:r w:rsidRPr="000E6E03">
      <w:rPr>
        <w:rFonts w:ascii="Times New Roman" w:hAnsi="Times New Roman" w:cs="Times New Roman" w:hint="cs"/>
        <w:b/>
        <w:bCs/>
        <w:color w:val="000000"/>
        <w:sz w:val="20"/>
        <w:szCs w:val="20"/>
        <w:rtl/>
        <w:lang w:eastAsia="ar-SA"/>
      </w:rPr>
      <w:t xml:space="preserve">      </w:t>
    </w:r>
    <w:r w:rsidRPr="000E6E03">
      <w:rPr>
        <w:rFonts w:ascii="Times New Roman" w:hAnsi="Times New Roman" w:cs="Times New Roman"/>
        <w:b/>
        <w:bCs/>
        <w:color w:val="000000"/>
        <w:sz w:val="20"/>
        <w:szCs w:val="20"/>
        <w:lang w:eastAsia="ar-SA"/>
      </w:rPr>
      <w:t xml:space="preserve">     </w:t>
    </w:r>
    <w:r w:rsidRPr="000E6E03">
      <w:rPr>
        <w:rFonts w:ascii="Times New Roman" w:hAnsi="Times New Roman" w:cs="Times New Roman" w:hint="cs"/>
        <w:b/>
        <w:bCs/>
        <w:color w:val="000000"/>
        <w:sz w:val="20"/>
        <w:szCs w:val="20"/>
        <w:rtl/>
        <w:lang w:eastAsia="ar-SA"/>
      </w:rPr>
      <w:t xml:space="preserve">  </w:t>
    </w:r>
    <w:r w:rsidRPr="000E6E03">
      <w:rPr>
        <w:rFonts w:ascii="Times New Roman" w:hAnsi="Times New Roman" w:cs="Times New Roman"/>
        <w:b/>
        <w:bCs/>
        <w:color w:val="000000"/>
        <w:sz w:val="20"/>
        <w:szCs w:val="20"/>
        <w:lang w:eastAsia="ar-SA"/>
      </w:rPr>
      <w:t xml:space="preserve">         </w:t>
    </w:r>
    <w:r w:rsidRPr="000E6E03">
      <w:rPr>
        <w:rFonts w:ascii="Times New Roman" w:hAnsi="Times New Roman" w:cs="Times New Roman" w:hint="cs"/>
        <w:b/>
        <w:bCs/>
        <w:color w:val="000000"/>
        <w:sz w:val="20"/>
        <w:szCs w:val="20"/>
        <w:rtl/>
        <w:lang w:eastAsia="ar-SA"/>
      </w:rPr>
      <w:t xml:space="preserve">        </w:t>
    </w:r>
    <w:r w:rsidRPr="000E6E03">
      <w:rPr>
        <w:rFonts w:ascii="Times New Roman" w:hAnsi="Times New Roman" w:cs="Times New Roman"/>
        <w:b/>
        <w:bCs/>
        <w:color w:val="000000"/>
        <w:sz w:val="20"/>
        <w:szCs w:val="20"/>
        <w:lang w:eastAsia="ar-SA"/>
      </w:rPr>
      <w:t xml:space="preserve">    </w:t>
    </w:r>
    <w:r w:rsidRPr="000E6E03">
      <w:rPr>
        <w:rFonts w:ascii="Times New Roman" w:hAnsi="Times New Roman" w:cs="Times New Roman" w:hint="cs"/>
        <w:b/>
        <w:bCs/>
        <w:color w:val="000000"/>
        <w:sz w:val="20"/>
        <w:szCs w:val="20"/>
        <w:rtl/>
        <w:lang w:eastAsia="ar-SA"/>
      </w:rPr>
      <w:t xml:space="preserve"> </w:t>
    </w:r>
    <w:r w:rsidRPr="000E6E03">
      <w:rPr>
        <w:rFonts w:ascii="Times New Roman" w:hAnsi="Times New Roman" w:cs="Times New Roman"/>
        <w:b/>
        <w:bCs/>
        <w:color w:val="000000"/>
        <w:sz w:val="20"/>
        <w:szCs w:val="20"/>
        <w:lang w:eastAsia="ar-SA"/>
      </w:rPr>
      <w:t xml:space="preserve">             </w:t>
    </w:r>
    <w:r w:rsidRPr="000E6E03">
      <w:rPr>
        <w:rFonts w:ascii="Times New Roman" w:hAnsi="Times New Roman" w:cs="Times New Roman" w:hint="cs"/>
        <w:b/>
        <w:bCs/>
        <w:color w:val="000000"/>
        <w:sz w:val="20"/>
        <w:szCs w:val="20"/>
        <w:rtl/>
        <w:lang w:eastAsia="ar-SA"/>
      </w:rPr>
      <w:t xml:space="preserve">      </w:t>
    </w:r>
    <w:r>
      <w:rPr>
        <w:rFonts w:ascii="Times New Roman" w:hAnsi="Times New Roman" w:cs="Times New Roman"/>
        <w:b/>
        <w:bCs/>
        <w:color w:val="000000"/>
        <w:sz w:val="20"/>
        <w:szCs w:val="20"/>
        <w:lang w:eastAsia="ar-SA"/>
      </w:rPr>
      <w:t xml:space="preserve">         </w:t>
    </w:r>
    <w:r w:rsidRPr="000E6E03">
      <w:rPr>
        <w:rFonts w:ascii="Times New Roman" w:hAnsi="Times New Roman" w:cs="Times New Roman"/>
        <w:b/>
        <w:bCs/>
        <w:color w:val="000000"/>
        <w:sz w:val="20"/>
        <w:szCs w:val="20"/>
        <w:lang w:eastAsia="ar-SA"/>
      </w:rPr>
      <w:t xml:space="preserve"> online: ISSN 2356–976x</w:t>
    </w:r>
  </w:p>
  <w:p w14:paraId="5AC81011" w14:textId="77777777" w:rsidR="000E6E03" w:rsidRPr="000E6E03" w:rsidRDefault="000E6E03" w:rsidP="000E6E03">
    <w:pPr>
      <w:tabs>
        <w:tab w:val="center" w:pos="4680"/>
        <w:tab w:val="right" w:pos="9360"/>
      </w:tabs>
      <w:bidi w:val="0"/>
      <w:spacing w:after="0" w:line="240" w:lineRule="auto"/>
      <w:jc w:val="center"/>
      <w:rPr>
        <w:rFonts w:eastAsia="Calibri"/>
      </w:rPr>
    </w:pPr>
    <w:r w:rsidRPr="000E6E03">
      <w:rPr>
        <w:rFonts w:ascii="Times New Roman" w:hAnsi="Times New Roman" w:cs="Times New Roman"/>
        <w:b/>
        <w:bCs/>
        <w:sz w:val="20"/>
        <w:szCs w:val="20"/>
        <w:lang w:bidi="ar-EG"/>
      </w:rPr>
      <w:t>http://bjas.bu.edu.eg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7768"/>
    <w:multiLevelType w:val="hybridMultilevel"/>
    <w:tmpl w:val="EF0417E4"/>
    <w:lvl w:ilvl="0" w:tplc="E084EC1E">
      <w:start w:val="2"/>
      <w:numFmt w:val="bullet"/>
      <w:lvlText w:val="-"/>
      <w:lvlJc w:val="left"/>
      <w:pPr>
        <w:ind w:left="720" w:hanging="360"/>
      </w:pPr>
      <w:rPr>
        <w:rFonts w:ascii="TimesNewRoman" w:eastAsia="Times New Roman" w:hAnsi="TimesNewRoma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F6406"/>
    <w:multiLevelType w:val="hybridMultilevel"/>
    <w:tmpl w:val="F2E00AFC"/>
    <w:lvl w:ilvl="0" w:tplc="438247F2">
      <w:start w:val="1"/>
      <w:numFmt w:val="decimal"/>
      <w:lvlText w:val="%1-"/>
      <w:lvlJc w:val="left"/>
      <w:pPr>
        <w:ind w:left="644" w:hanging="360"/>
      </w:pPr>
      <w:rPr>
        <w:rFonts w:asciiTheme="minorHAnsi" w:hAnsiTheme="minorHAnsi" w:cstheme="minorBidi"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17A6B"/>
    <w:multiLevelType w:val="hybridMultilevel"/>
    <w:tmpl w:val="44EC64C8"/>
    <w:lvl w:ilvl="0" w:tplc="9A3A2884">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73972"/>
    <w:multiLevelType w:val="hybridMultilevel"/>
    <w:tmpl w:val="A39C3674"/>
    <w:lvl w:ilvl="0" w:tplc="9A3A2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C2ED5"/>
    <w:multiLevelType w:val="hybridMultilevel"/>
    <w:tmpl w:val="A7C0DB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7922DE"/>
    <w:multiLevelType w:val="hybridMultilevel"/>
    <w:tmpl w:val="A66C3148"/>
    <w:lvl w:ilvl="0" w:tplc="438247F2">
      <w:start w:val="1"/>
      <w:numFmt w:val="decimal"/>
      <w:lvlText w:val="%1-"/>
      <w:lvlJc w:val="left"/>
      <w:pPr>
        <w:ind w:left="644" w:hanging="360"/>
      </w:pPr>
      <w:rPr>
        <w:rFonts w:asciiTheme="minorHAnsi" w:hAnsiTheme="minorHAnsi" w:cstheme="minorBidi" w:hint="default"/>
        <w:b/>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4B4DAD"/>
    <w:multiLevelType w:val="hybridMultilevel"/>
    <w:tmpl w:val="762AA2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307D4"/>
    <w:multiLevelType w:val="hybridMultilevel"/>
    <w:tmpl w:val="1E864216"/>
    <w:lvl w:ilvl="0" w:tplc="0409000F">
      <w:start w:val="1"/>
      <w:numFmt w:val="decimal"/>
      <w:lvlText w:val="%1."/>
      <w:lvlJc w:val="left"/>
      <w:pPr>
        <w:ind w:left="450" w:hanging="360"/>
      </w:pPr>
      <w:rPr>
        <w:rFonts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BC3D6C"/>
    <w:multiLevelType w:val="hybridMultilevel"/>
    <w:tmpl w:val="DEA05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BD5607"/>
    <w:multiLevelType w:val="hybridMultilevel"/>
    <w:tmpl w:val="07D02DC2"/>
    <w:lvl w:ilvl="0" w:tplc="12CC8F9E">
      <w:start w:val="1"/>
      <w:numFmt w:val="decimal"/>
      <w:lvlText w:val="%1."/>
      <w:lvlJc w:val="left"/>
      <w:pPr>
        <w:ind w:left="643"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87C73"/>
    <w:multiLevelType w:val="hybridMultilevel"/>
    <w:tmpl w:val="A66C3148"/>
    <w:lvl w:ilvl="0" w:tplc="438247F2">
      <w:start w:val="1"/>
      <w:numFmt w:val="decimal"/>
      <w:lvlText w:val="%1-"/>
      <w:lvlJc w:val="left"/>
      <w:pPr>
        <w:ind w:left="644" w:hanging="360"/>
      </w:pPr>
      <w:rPr>
        <w:rFonts w:asciiTheme="minorHAnsi" w:hAnsiTheme="minorHAnsi" w:cstheme="minorBidi" w:hint="default"/>
        <w:b/>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8825D48"/>
    <w:multiLevelType w:val="hybridMultilevel"/>
    <w:tmpl w:val="C7B2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77DD8"/>
    <w:multiLevelType w:val="hybridMultilevel"/>
    <w:tmpl w:val="1310A526"/>
    <w:lvl w:ilvl="0" w:tplc="12CC8F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045A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5CD6B4E"/>
    <w:multiLevelType w:val="hybridMultilevel"/>
    <w:tmpl w:val="6F7E8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25E62"/>
    <w:multiLevelType w:val="multilevel"/>
    <w:tmpl w:val="3790EE74"/>
    <w:lvl w:ilvl="0">
      <w:start w:val="1"/>
      <w:numFmt w:val="bullet"/>
      <w:lvlText w:val=""/>
      <w:lvlJc w:val="left"/>
      <w:pPr>
        <w:ind w:left="360" w:hanging="360"/>
      </w:pPr>
      <w:rPr>
        <w:rFonts w:ascii="Wingdings" w:hAnsi="Wingdings" w:hint="default"/>
      </w:rPr>
    </w:lvl>
    <w:lvl w:ilvl="1">
      <w:start w:val="1"/>
      <w:numFmt w:val="bullet"/>
      <w:lvlText w:val=""/>
      <w:lvlJc w:val="left"/>
      <w:pPr>
        <w:ind w:left="450" w:hanging="360"/>
      </w:pPr>
      <w:rPr>
        <w:rFonts w:ascii="Wingdings" w:hAnsi="Wingdings" w:hint="default"/>
        <w:b w:val="0"/>
        <w:bCs w:val="0"/>
        <w:i w:val="0"/>
        <w:sz w:val="20"/>
        <w:szCs w:val="28"/>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C9D0B04"/>
    <w:multiLevelType w:val="hybridMultilevel"/>
    <w:tmpl w:val="D85A98B0"/>
    <w:lvl w:ilvl="0" w:tplc="4874DDB0">
      <w:start w:val="1"/>
      <w:numFmt w:val="decimal"/>
      <w:lvlText w:val="[%1]"/>
      <w:lvlJc w:val="left"/>
      <w:pPr>
        <w:ind w:left="450" w:hanging="360"/>
      </w:pPr>
      <w:rPr>
        <w:rFonts w:hint="default"/>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B595165"/>
    <w:multiLevelType w:val="hybridMultilevel"/>
    <w:tmpl w:val="11648AA0"/>
    <w:lvl w:ilvl="0" w:tplc="FA9A8ABC">
      <w:start w:val="1"/>
      <w:numFmt w:val="decimal"/>
      <w:lvlText w:val="[%1]."/>
      <w:lvlJc w:val="left"/>
      <w:pPr>
        <w:ind w:left="450" w:hanging="360"/>
      </w:pPr>
      <w:rPr>
        <w:rFonts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F7C1139"/>
    <w:multiLevelType w:val="hybridMultilevel"/>
    <w:tmpl w:val="F1EC7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6967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2078412">
    <w:abstractNumId w:val="3"/>
  </w:num>
  <w:num w:numId="3" w16cid:durableId="175114789">
    <w:abstractNumId w:val="2"/>
  </w:num>
  <w:num w:numId="4" w16cid:durableId="1163739718">
    <w:abstractNumId w:val="8"/>
  </w:num>
  <w:num w:numId="5" w16cid:durableId="67846802">
    <w:abstractNumId w:val="6"/>
  </w:num>
  <w:num w:numId="6" w16cid:durableId="546651092">
    <w:abstractNumId w:val="0"/>
  </w:num>
  <w:num w:numId="7" w16cid:durableId="1199049866">
    <w:abstractNumId w:val="11"/>
  </w:num>
  <w:num w:numId="8" w16cid:durableId="836575921">
    <w:abstractNumId w:val="12"/>
  </w:num>
  <w:num w:numId="9" w16cid:durableId="346827877">
    <w:abstractNumId w:val="9"/>
  </w:num>
  <w:num w:numId="10" w16cid:durableId="409231799">
    <w:abstractNumId w:val="15"/>
  </w:num>
  <w:num w:numId="11" w16cid:durableId="1003047275">
    <w:abstractNumId w:val="13"/>
  </w:num>
  <w:num w:numId="12" w16cid:durableId="1355378674">
    <w:abstractNumId w:val="10"/>
  </w:num>
  <w:num w:numId="13" w16cid:durableId="1618639622">
    <w:abstractNumId w:val="5"/>
  </w:num>
  <w:num w:numId="14" w16cid:durableId="1940480239">
    <w:abstractNumId w:val="1"/>
  </w:num>
  <w:num w:numId="15" w16cid:durableId="1469736591">
    <w:abstractNumId w:val="18"/>
  </w:num>
  <w:num w:numId="16" w16cid:durableId="1063142160">
    <w:abstractNumId w:val="17"/>
  </w:num>
  <w:num w:numId="17" w16cid:durableId="883563374">
    <w:abstractNumId w:val="7"/>
  </w:num>
  <w:num w:numId="18" w16cid:durableId="1411001477">
    <w:abstractNumId w:val="16"/>
  </w:num>
  <w:num w:numId="19" w16cid:durableId="846678378">
    <w:abstractNumId w:val="4"/>
  </w:num>
  <w:num w:numId="20" w16cid:durableId="16237297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C0"/>
    <w:rsid w:val="000047FF"/>
    <w:rsid w:val="00013955"/>
    <w:rsid w:val="00013A05"/>
    <w:rsid w:val="00015E52"/>
    <w:rsid w:val="00030DC9"/>
    <w:rsid w:val="0003109F"/>
    <w:rsid w:val="00032434"/>
    <w:rsid w:val="0003660B"/>
    <w:rsid w:val="000613F4"/>
    <w:rsid w:val="00070981"/>
    <w:rsid w:val="000731E3"/>
    <w:rsid w:val="00073285"/>
    <w:rsid w:val="00076C65"/>
    <w:rsid w:val="000802F5"/>
    <w:rsid w:val="000827BF"/>
    <w:rsid w:val="00090D91"/>
    <w:rsid w:val="00090EB4"/>
    <w:rsid w:val="00093B51"/>
    <w:rsid w:val="000957B9"/>
    <w:rsid w:val="0009716C"/>
    <w:rsid w:val="000A11E4"/>
    <w:rsid w:val="000A27F2"/>
    <w:rsid w:val="000B4E55"/>
    <w:rsid w:val="000C090C"/>
    <w:rsid w:val="000C423E"/>
    <w:rsid w:val="000C5C25"/>
    <w:rsid w:val="000C7F76"/>
    <w:rsid w:val="000D1628"/>
    <w:rsid w:val="000D5E2E"/>
    <w:rsid w:val="000D60EB"/>
    <w:rsid w:val="000D7386"/>
    <w:rsid w:val="000D7D3F"/>
    <w:rsid w:val="000E3364"/>
    <w:rsid w:val="000E4CFC"/>
    <w:rsid w:val="000E6E03"/>
    <w:rsid w:val="000E7FF8"/>
    <w:rsid w:val="000F0371"/>
    <w:rsid w:val="000F0C78"/>
    <w:rsid w:val="000F19DD"/>
    <w:rsid w:val="000F6514"/>
    <w:rsid w:val="001133A1"/>
    <w:rsid w:val="001142A4"/>
    <w:rsid w:val="001172FC"/>
    <w:rsid w:val="00120D82"/>
    <w:rsid w:val="001308B0"/>
    <w:rsid w:val="001334BB"/>
    <w:rsid w:val="001344BD"/>
    <w:rsid w:val="00136D70"/>
    <w:rsid w:val="001401CB"/>
    <w:rsid w:val="00146970"/>
    <w:rsid w:val="001470D5"/>
    <w:rsid w:val="00164055"/>
    <w:rsid w:val="00165D00"/>
    <w:rsid w:val="00165E87"/>
    <w:rsid w:val="001747A9"/>
    <w:rsid w:val="001816E9"/>
    <w:rsid w:val="00183F65"/>
    <w:rsid w:val="00184A44"/>
    <w:rsid w:val="00197370"/>
    <w:rsid w:val="001A0712"/>
    <w:rsid w:val="001A5200"/>
    <w:rsid w:val="001A7F6B"/>
    <w:rsid w:val="001B2EDD"/>
    <w:rsid w:val="001D015F"/>
    <w:rsid w:val="001D3625"/>
    <w:rsid w:val="001D438C"/>
    <w:rsid w:val="002015D5"/>
    <w:rsid w:val="00210D54"/>
    <w:rsid w:val="00215C10"/>
    <w:rsid w:val="00237639"/>
    <w:rsid w:val="00251B65"/>
    <w:rsid w:val="00262298"/>
    <w:rsid w:val="0026620E"/>
    <w:rsid w:val="002679A8"/>
    <w:rsid w:val="00270D10"/>
    <w:rsid w:val="0027252C"/>
    <w:rsid w:val="002847C3"/>
    <w:rsid w:val="00290934"/>
    <w:rsid w:val="0029518F"/>
    <w:rsid w:val="00296417"/>
    <w:rsid w:val="002A20E4"/>
    <w:rsid w:val="002A56BA"/>
    <w:rsid w:val="002A74E0"/>
    <w:rsid w:val="002B1EFE"/>
    <w:rsid w:val="002B37C9"/>
    <w:rsid w:val="002B464B"/>
    <w:rsid w:val="002D0A0D"/>
    <w:rsid w:val="002D5843"/>
    <w:rsid w:val="002D6684"/>
    <w:rsid w:val="002E06A2"/>
    <w:rsid w:val="002E23B3"/>
    <w:rsid w:val="002F460A"/>
    <w:rsid w:val="002F4F25"/>
    <w:rsid w:val="002F56F8"/>
    <w:rsid w:val="00301E19"/>
    <w:rsid w:val="00305479"/>
    <w:rsid w:val="003078C0"/>
    <w:rsid w:val="00315CE7"/>
    <w:rsid w:val="00322B14"/>
    <w:rsid w:val="003261A2"/>
    <w:rsid w:val="00366C36"/>
    <w:rsid w:val="003702C5"/>
    <w:rsid w:val="00373C01"/>
    <w:rsid w:val="00373F39"/>
    <w:rsid w:val="00383449"/>
    <w:rsid w:val="00392884"/>
    <w:rsid w:val="00394875"/>
    <w:rsid w:val="003A2695"/>
    <w:rsid w:val="003A493E"/>
    <w:rsid w:val="003A77EE"/>
    <w:rsid w:val="003B24E3"/>
    <w:rsid w:val="003B461E"/>
    <w:rsid w:val="003B6934"/>
    <w:rsid w:val="003B6B75"/>
    <w:rsid w:val="003C3580"/>
    <w:rsid w:val="003C6937"/>
    <w:rsid w:val="003D06DE"/>
    <w:rsid w:val="003D091E"/>
    <w:rsid w:val="003D31F5"/>
    <w:rsid w:val="003D400B"/>
    <w:rsid w:val="003D624C"/>
    <w:rsid w:val="003E6125"/>
    <w:rsid w:val="003F72B6"/>
    <w:rsid w:val="00402A3B"/>
    <w:rsid w:val="004101B7"/>
    <w:rsid w:val="00421993"/>
    <w:rsid w:val="004246D3"/>
    <w:rsid w:val="004259B8"/>
    <w:rsid w:val="00433250"/>
    <w:rsid w:val="004344C1"/>
    <w:rsid w:val="00437214"/>
    <w:rsid w:val="00444EC0"/>
    <w:rsid w:val="004451E8"/>
    <w:rsid w:val="00446157"/>
    <w:rsid w:val="004507AE"/>
    <w:rsid w:val="00456B7A"/>
    <w:rsid w:val="00461A4D"/>
    <w:rsid w:val="00465261"/>
    <w:rsid w:val="00470228"/>
    <w:rsid w:val="00471663"/>
    <w:rsid w:val="00471A7D"/>
    <w:rsid w:val="00474019"/>
    <w:rsid w:val="00480636"/>
    <w:rsid w:val="0048381B"/>
    <w:rsid w:val="00484A9F"/>
    <w:rsid w:val="004858E2"/>
    <w:rsid w:val="00486ECA"/>
    <w:rsid w:val="004915EA"/>
    <w:rsid w:val="004953DD"/>
    <w:rsid w:val="00495578"/>
    <w:rsid w:val="00496333"/>
    <w:rsid w:val="004A4F98"/>
    <w:rsid w:val="004D214A"/>
    <w:rsid w:val="004D25F6"/>
    <w:rsid w:val="004D434B"/>
    <w:rsid w:val="004E126C"/>
    <w:rsid w:val="004E533C"/>
    <w:rsid w:val="004E5C4F"/>
    <w:rsid w:val="00504D57"/>
    <w:rsid w:val="00505EA3"/>
    <w:rsid w:val="005124CC"/>
    <w:rsid w:val="005136EB"/>
    <w:rsid w:val="0051486D"/>
    <w:rsid w:val="0053028A"/>
    <w:rsid w:val="00540288"/>
    <w:rsid w:val="00543807"/>
    <w:rsid w:val="00543C8D"/>
    <w:rsid w:val="00544B6A"/>
    <w:rsid w:val="00545155"/>
    <w:rsid w:val="005453BC"/>
    <w:rsid w:val="00550A25"/>
    <w:rsid w:val="00553432"/>
    <w:rsid w:val="00556D23"/>
    <w:rsid w:val="0057003F"/>
    <w:rsid w:val="0057421A"/>
    <w:rsid w:val="00580130"/>
    <w:rsid w:val="00585E1B"/>
    <w:rsid w:val="005A3599"/>
    <w:rsid w:val="005A4BD3"/>
    <w:rsid w:val="005B14B1"/>
    <w:rsid w:val="005B1CE7"/>
    <w:rsid w:val="005B3823"/>
    <w:rsid w:val="005B60A7"/>
    <w:rsid w:val="005D22C8"/>
    <w:rsid w:val="005D2805"/>
    <w:rsid w:val="005D7704"/>
    <w:rsid w:val="005E77C7"/>
    <w:rsid w:val="005F0BED"/>
    <w:rsid w:val="005F1C09"/>
    <w:rsid w:val="005F29DB"/>
    <w:rsid w:val="005F3EB1"/>
    <w:rsid w:val="00600DF1"/>
    <w:rsid w:val="006127C3"/>
    <w:rsid w:val="00636865"/>
    <w:rsid w:val="00645B4F"/>
    <w:rsid w:val="00670F85"/>
    <w:rsid w:val="00670FA0"/>
    <w:rsid w:val="00683571"/>
    <w:rsid w:val="0069534F"/>
    <w:rsid w:val="006A1027"/>
    <w:rsid w:val="006A1106"/>
    <w:rsid w:val="006A4242"/>
    <w:rsid w:val="006B5E5C"/>
    <w:rsid w:val="006C2B9F"/>
    <w:rsid w:val="006C2BB0"/>
    <w:rsid w:val="006C5A6E"/>
    <w:rsid w:val="006D2A16"/>
    <w:rsid w:val="006D6266"/>
    <w:rsid w:val="006E5F6C"/>
    <w:rsid w:val="006E7477"/>
    <w:rsid w:val="007059D1"/>
    <w:rsid w:val="00707527"/>
    <w:rsid w:val="0071269E"/>
    <w:rsid w:val="00712A0D"/>
    <w:rsid w:val="00715878"/>
    <w:rsid w:val="00735B88"/>
    <w:rsid w:val="00735FF1"/>
    <w:rsid w:val="00742685"/>
    <w:rsid w:val="007430B4"/>
    <w:rsid w:val="00746AEC"/>
    <w:rsid w:val="007528F6"/>
    <w:rsid w:val="00753219"/>
    <w:rsid w:val="0076570B"/>
    <w:rsid w:val="00770E67"/>
    <w:rsid w:val="007738E0"/>
    <w:rsid w:val="00773B06"/>
    <w:rsid w:val="0077792D"/>
    <w:rsid w:val="007814FD"/>
    <w:rsid w:val="00785E90"/>
    <w:rsid w:val="007A2FC4"/>
    <w:rsid w:val="007B070E"/>
    <w:rsid w:val="007B2C3E"/>
    <w:rsid w:val="007D0986"/>
    <w:rsid w:val="007E3158"/>
    <w:rsid w:val="007E3C1A"/>
    <w:rsid w:val="007E42DB"/>
    <w:rsid w:val="007F119E"/>
    <w:rsid w:val="007F1225"/>
    <w:rsid w:val="007F42AB"/>
    <w:rsid w:val="008027F6"/>
    <w:rsid w:val="008035C4"/>
    <w:rsid w:val="00803F83"/>
    <w:rsid w:val="008050AD"/>
    <w:rsid w:val="00810BF9"/>
    <w:rsid w:val="00811104"/>
    <w:rsid w:val="0081276A"/>
    <w:rsid w:val="0081278B"/>
    <w:rsid w:val="00820D61"/>
    <w:rsid w:val="00822F6D"/>
    <w:rsid w:val="00834327"/>
    <w:rsid w:val="008362EC"/>
    <w:rsid w:val="00836743"/>
    <w:rsid w:val="0083747A"/>
    <w:rsid w:val="008378BF"/>
    <w:rsid w:val="008456C1"/>
    <w:rsid w:val="00856BFF"/>
    <w:rsid w:val="008620FA"/>
    <w:rsid w:val="00870095"/>
    <w:rsid w:val="00872C4E"/>
    <w:rsid w:val="00873ABC"/>
    <w:rsid w:val="00874B3C"/>
    <w:rsid w:val="00876CFD"/>
    <w:rsid w:val="008840D9"/>
    <w:rsid w:val="00892702"/>
    <w:rsid w:val="008A05AE"/>
    <w:rsid w:val="008A22B5"/>
    <w:rsid w:val="008A7AA2"/>
    <w:rsid w:val="008B2D12"/>
    <w:rsid w:val="008B445D"/>
    <w:rsid w:val="008B4FA9"/>
    <w:rsid w:val="008C5B72"/>
    <w:rsid w:val="008C794F"/>
    <w:rsid w:val="008D7CDA"/>
    <w:rsid w:val="008E05DD"/>
    <w:rsid w:val="008E2EA1"/>
    <w:rsid w:val="008E319B"/>
    <w:rsid w:val="008F01C5"/>
    <w:rsid w:val="008F34AB"/>
    <w:rsid w:val="009047FD"/>
    <w:rsid w:val="009060BB"/>
    <w:rsid w:val="0091160B"/>
    <w:rsid w:val="00915877"/>
    <w:rsid w:val="00917F46"/>
    <w:rsid w:val="00924046"/>
    <w:rsid w:val="0092536E"/>
    <w:rsid w:val="00927C44"/>
    <w:rsid w:val="009301AD"/>
    <w:rsid w:val="009318C5"/>
    <w:rsid w:val="00932101"/>
    <w:rsid w:val="00932C74"/>
    <w:rsid w:val="00933BB9"/>
    <w:rsid w:val="00934E89"/>
    <w:rsid w:val="00935507"/>
    <w:rsid w:val="009358A0"/>
    <w:rsid w:val="00942D24"/>
    <w:rsid w:val="0094300E"/>
    <w:rsid w:val="00953CAC"/>
    <w:rsid w:val="00965387"/>
    <w:rsid w:val="00975497"/>
    <w:rsid w:val="00981F57"/>
    <w:rsid w:val="009830E8"/>
    <w:rsid w:val="009845F2"/>
    <w:rsid w:val="00985C71"/>
    <w:rsid w:val="00993C10"/>
    <w:rsid w:val="009A2AA0"/>
    <w:rsid w:val="009A4910"/>
    <w:rsid w:val="009B3D66"/>
    <w:rsid w:val="009B47A7"/>
    <w:rsid w:val="009C2837"/>
    <w:rsid w:val="009E162F"/>
    <w:rsid w:val="009E52F0"/>
    <w:rsid w:val="00A17A63"/>
    <w:rsid w:val="00A17E08"/>
    <w:rsid w:val="00A33835"/>
    <w:rsid w:val="00A50FE7"/>
    <w:rsid w:val="00A51499"/>
    <w:rsid w:val="00A51935"/>
    <w:rsid w:val="00A54AA3"/>
    <w:rsid w:val="00A56BBA"/>
    <w:rsid w:val="00A57E77"/>
    <w:rsid w:val="00A6644F"/>
    <w:rsid w:val="00A67469"/>
    <w:rsid w:val="00A73A33"/>
    <w:rsid w:val="00A85057"/>
    <w:rsid w:val="00A923C0"/>
    <w:rsid w:val="00A9331C"/>
    <w:rsid w:val="00A96768"/>
    <w:rsid w:val="00AA140F"/>
    <w:rsid w:val="00AB2076"/>
    <w:rsid w:val="00AB591F"/>
    <w:rsid w:val="00AC6160"/>
    <w:rsid w:val="00AD3B1C"/>
    <w:rsid w:val="00AD6ACC"/>
    <w:rsid w:val="00AD7DD3"/>
    <w:rsid w:val="00AF3AF5"/>
    <w:rsid w:val="00B00DCC"/>
    <w:rsid w:val="00B01465"/>
    <w:rsid w:val="00B02CC0"/>
    <w:rsid w:val="00B04ED4"/>
    <w:rsid w:val="00B15436"/>
    <w:rsid w:val="00B22569"/>
    <w:rsid w:val="00B3057E"/>
    <w:rsid w:val="00B30DEB"/>
    <w:rsid w:val="00B3129B"/>
    <w:rsid w:val="00B36888"/>
    <w:rsid w:val="00B42970"/>
    <w:rsid w:val="00B432B9"/>
    <w:rsid w:val="00B46B6D"/>
    <w:rsid w:val="00B522E0"/>
    <w:rsid w:val="00B53768"/>
    <w:rsid w:val="00B57387"/>
    <w:rsid w:val="00B82FF8"/>
    <w:rsid w:val="00B83D64"/>
    <w:rsid w:val="00B872DB"/>
    <w:rsid w:val="00B941EA"/>
    <w:rsid w:val="00B971ED"/>
    <w:rsid w:val="00BA1930"/>
    <w:rsid w:val="00BC5922"/>
    <w:rsid w:val="00BD2F71"/>
    <w:rsid w:val="00BD7E34"/>
    <w:rsid w:val="00BE3911"/>
    <w:rsid w:val="00BE447B"/>
    <w:rsid w:val="00BE69D6"/>
    <w:rsid w:val="00BF49F2"/>
    <w:rsid w:val="00C01919"/>
    <w:rsid w:val="00C02542"/>
    <w:rsid w:val="00C03992"/>
    <w:rsid w:val="00C06982"/>
    <w:rsid w:val="00C2050C"/>
    <w:rsid w:val="00C21D16"/>
    <w:rsid w:val="00C26C97"/>
    <w:rsid w:val="00C27517"/>
    <w:rsid w:val="00C32549"/>
    <w:rsid w:val="00C407B7"/>
    <w:rsid w:val="00C434F4"/>
    <w:rsid w:val="00C468A8"/>
    <w:rsid w:val="00C601E7"/>
    <w:rsid w:val="00C744C5"/>
    <w:rsid w:val="00C75461"/>
    <w:rsid w:val="00C81544"/>
    <w:rsid w:val="00C81681"/>
    <w:rsid w:val="00C851B5"/>
    <w:rsid w:val="00C90387"/>
    <w:rsid w:val="00C92A08"/>
    <w:rsid w:val="00CA3F0D"/>
    <w:rsid w:val="00CB026A"/>
    <w:rsid w:val="00CB2B6D"/>
    <w:rsid w:val="00CB35CA"/>
    <w:rsid w:val="00CB592D"/>
    <w:rsid w:val="00CC4733"/>
    <w:rsid w:val="00CD013C"/>
    <w:rsid w:val="00CE29D3"/>
    <w:rsid w:val="00CE4823"/>
    <w:rsid w:val="00CE5475"/>
    <w:rsid w:val="00CE5AEE"/>
    <w:rsid w:val="00CE68AE"/>
    <w:rsid w:val="00CF3FDD"/>
    <w:rsid w:val="00CF477E"/>
    <w:rsid w:val="00CF549C"/>
    <w:rsid w:val="00D037A6"/>
    <w:rsid w:val="00D0552D"/>
    <w:rsid w:val="00D06E8C"/>
    <w:rsid w:val="00D07C1F"/>
    <w:rsid w:val="00D11D90"/>
    <w:rsid w:val="00D16969"/>
    <w:rsid w:val="00D176B2"/>
    <w:rsid w:val="00D25FC7"/>
    <w:rsid w:val="00D3397C"/>
    <w:rsid w:val="00D44845"/>
    <w:rsid w:val="00D523A7"/>
    <w:rsid w:val="00D52817"/>
    <w:rsid w:val="00D52C7E"/>
    <w:rsid w:val="00D5396F"/>
    <w:rsid w:val="00D60335"/>
    <w:rsid w:val="00D62459"/>
    <w:rsid w:val="00D65590"/>
    <w:rsid w:val="00D70D69"/>
    <w:rsid w:val="00D717C6"/>
    <w:rsid w:val="00D753E0"/>
    <w:rsid w:val="00D81328"/>
    <w:rsid w:val="00D90929"/>
    <w:rsid w:val="00DA3CA6"/>
    <w:rsid w:val="00DC5530"/>
    <w:rsid w:val="00DD02C5"/>
    <w:rsid w:val="00DD5F4C"/>
    <w:rsid w:val="00DD7254"/>
    <w:rsid w:val="00DE38A5"/>
    <w:rsid w:val="00DE3B97"/>
    <w:rsid w:val="00DF1F6A"/>
    <w:rsid w:val="00DF3862"/>
    <w:rsid w:val="00E16071"/>
    <w:rsid w:val="00E16497"/>
    <w:rsid w:val="00E1721D"/>
    <w:rsid w:val="00E25203"/>
    <w:rsid w:val="00E41879"/>
    <w:rsid w:val="00E4498F"/>
    <w:rsid w:val="00E553D1"/>
    <w:rsid w:val="00E5547E"/>
    <w:rsid w:val="00E55606"/>
    <w:rsid w:val="00E60CA5"/>
    <w:rsid w:val="00E61B26"/>
    <w:rsid w:val="00E63EB3"/>
    <w:rsid w:val="00E64D30"/>
    <w:rsid w:val="00E7793F"/>
    <w:rsid w:val="00E822CF"/>
    <w:rsid w:val="00E82685"/>
    <w:rsid w:val="00E85B72"/>
    <w:rsid w:val="00E9023F"/>
    <w:rsid w:val="00EA5D44"/>
    <w:rsid w:val="00EB0F87"/>
    <w:rsid w:val="00EB11B1"/>
    <w:rsid w:val="00EB20D4"/>
    <w:rsid w:val="00EB3AAB"/>
    <w:rsid w:val="00EB640B"/>
    <w:rsid w:val="00EB672C"/>
    <w:rsid w:val="00EB795A"/>
    <w:rsid w:val="00EC13F2"/>
    <w:rsid w:val="00EC5BB4"/>
    <w:rsid w:val="00ED0243"/>
    <w:rsid w:val="00EE32BB"/>
    <w:rsid w:val="00EE3BC0"/>
    <w:rsid w:val="00EF266B"/>
    <w:rsid w:val="00EF7563"/>
    <w:rsid w:val="00F0124C"/>
    <w:rsid w:val="00F01510"/>
    <w:rsid w:val="00F10AF5"/>
    <w:rsid w:val="00F126A7"/>
    <w:rsid w:val="00F16F15"/>
    <w:rsid w:val="00F2379D"/>
    <w:rsid w:val="00F24E78"/>
    <w:rsid w:val="00F30777"/>
    <w:rsid w:val="00F34DB8"/>
    <w:rsid w:val="00F3732E"/>
    <w:rsid w:val="00F405A3"/>
    <w:rsid w:val="00F4607D"/>
    <w:rsid w:val="00F47AE3"/>
    <w:rsid w:val="00F540FC"/>
    <w:rsid w:val="00F55EA6"/>
    <w:rsid w:val="00F7406E"/>
    <w:rsid w:val="00F8231A"/>
    <w:rsid w:val="00F85440"/>
    <w:rsid w:val="00F94FE1"/>
    <w:rsid w:val="00F96638"/>
    <w:rsid w:val="00FA6470"/>
    <w:rsid w:val="00FA6B31"/>
    <w:rsid w:val="00FB017C"/>
    <w:rsid w:val="00FC66D0"/>
    <w:rsid w:val="00FD2C45"/>
    <w:rsid w:val="00FD388A"/>
    <w:rsid w:val="00FD3A4B"/>
    <w:rsid w:val="00FE6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9F9E9"/>
  <w15:docId w15:val="{953DB2B0-8B83-40C6-A52A-F971E4BF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FF8"/>
    <w:pPr>
      <w:bidi/>
    </w:pPr>
    <w:rPr>
      <w:rFonts w:ascii="Calibri" w:eastAsia="Times New Roman" w:hAnsi="Calibri" w:cs="Arial"/>
    </w:rPr>
  </w:style>
  <w:style w:type="paragraph" w:styleId="Heading1">
    <w:name w:val="heading 1"/>
    <w:basedOn w:val="Normal"/>
    <w:next w:val="Normal"/>
    <w:link w:val="Heading1Char"/>
    <w:uiPriority w:val="9"/>
    <w:qFormat/>
    <w:rsid w:val="00F126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A0712"/>
    <w:pPr>
      <w:bidi w:val="0"/>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387"/>
    <w:pPr>
      <w:ind w:left="720"/>
      <w:contextualSpacing/>
    </w:pPr>
  </w:style>
  <w:style w:type="character" w:customStyle="1" w:styleId="fontstyle01">
    <w:name w:val="fontstyle01"/>
    <w:rsid w:val="00CC4733"/>
    <w:rPr>
      <w:rFonts w:ascii="TimesNewRomanPSMT" w:hAnsi="TimesNewRomanPSMT" w:hint="default"/>
      <w:b w:val="0"/>
      <w:bCs w:val="0"/>
      <w:i w:val="0"/>
      <w:iCs w:val="0"/>
      <w:color w:val="000000"/>
      <w:sz w:val="24"/>
      <w:szCs w:val="24"/>
    </w:rPr>
  </w:style>
  <w:style w:type="table" w:customStyle="1" w:styleId="PlainTable11">
    <w:name w:val="Plain Table 11"/>
    <w:basedOn w:val="TableNormal"/>
    <w:next w:val="PlainTable12"/>
    <w:uiPriority w:val="41"/>
    <w:rsid w:val="000D5E2E"/>
    <w:pPr>
      <w:spacing w:after="0" w:line="240" w:lineRule="auto"/>
    </w:pPr>
    <w:rPr>
      <w:rFonts w:ascii="Calibri" w:eastAsia="Times New Roman" w:hAnsi="Calibri" w:cs="Arial"/>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0D5E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1A071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43C8D"/>
    <w:rPr>
      <w:color w:val="0000FF"/>
      <w:u w:val="single"/>
    </w:rPr>
  </w:style>
  <w:style w:type="character" w:styleId="Strong">
    <w:name w:val="Strong"/>
    <w:basedOn w:val="DefaultParagraphFont"/>
    <w:uiPriority w:val="22"/>
    <w:qFormat/>
    <w:rsid w:val="00E1721D"/>
    <w:rPr>
      <w:b/>
      <w:bCs/>
    </w:rPr>
  </w:style>
  <w:style w:type="paragraph" w:styleId="NormalWeb">
    <w:name w:val="Normal (Web)"/>
    <w:basedOn w:val="Normal"/>
    <w:uiPriority w:val="99"/>
    <w:semiHidden/>
    <w:unhideWhenUsed/>
    <w:rsid w:val="00820D61"/>
    <w:pPr>
      <w:bidi w:val="0"/>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93210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26A7"/>
    <w:rPr>
      <w:rFonts w:asciiTheme="majorHAnsi" w:eastAsiaTheme="majorEastAsia" w:hAnsiTheme="majorHAnsi" w:cstheme="majorBidi"/>
      <w:color w:val="365F91" w:themeColor="accent1" w:themeShade="BF"/>
      <w:sz w:val="32"/>
      <w:szCs w:val="32"/>
    </w:rPr>
  </w:style>
  <w:style w:type="paragraph" w:styleId="NoSpacing">
    <w:name w:val="No Spacing"/>
    <w:link w:val="NoSpacingChar"/>
    <w:uiPriority w:val="1"/>
    <w:qFormat/>
    <w:rsid w:val="008A22B5"/>
    <w:pPr>
      <w:bidi/>
      <w:spacing w:after="0" w:line="240" w:lineRule="auto"/>
    </w:pPr>
    <w:rPr>
      <w:rFonts w:eastAsiaTheme="minorEastAsia"/>
    </w:rPr>
  </w:style>
  <w:style w:type="character" w:customStyle="1" w:styleId="NoSpacingChar">
    <w:name w:val="No Spacing Char"/>
    <w:basedOn w:val="DefaultParagraphFont"/>
    <w:link w:val="NoSpacing"/>
    <w:uiPriority w:val="1"/>
    <w:rsid w:val="008A22B5"/>
    <w:rPr>
      <w:rFonts w:eastAsiaTheme="minorEastAsia"/>
    </w:rPr>
  </w:style>
  <w:style w:type="paragraph" w:styleId="BalloonText">
    <w:name w:val="Balloon Text"/>
    <w:basedOn w:val="Normal"/>
    <w:link w:val="BalloonTextChar"/>
    <w:uiPriority w:val="99"/>
    <w:semiHidden/>
    <w:unhideWhenUsed/>
    <w:rsid w:val="008A2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2B5"/>
    <w:rPr>
      <w:rFonts w:ascii="Tahoma" w:eastAsia="Times New Roman" w:hAnsi="Tahoma" w:cs="Tahoma"/>
      <w:sz w:val="16"/>
      <w:szCs w:val="16"/>
    </w:rPr>
  </w:style>
  <w:style w:type="paragraph" w:styleId="Header">
    <w:name w:val="header"/>
    <w:basedOn w:val="Normal"/>
    <w:link w:val="HeaderChar"/>
    <w:uiPriority w:val="99"/>
    <w:unhideWhenUsed/>
    <w:rsid w:val="001344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44BD"/>
    <w:rPr>
      <w:rFonts w:ascii="Calibri" w:eastAsia="Times New Roman" w:hAnsi="Calibri" w:cs="Arial"/>
    </w:rPr>
  </w:style>
  <w:style w:type="paragraph" w:styleId="Footer">
    <w:name w:val="footer"/>
    <w:basedOn w:val="Normal"/>
    <w:link w:val="FooterChar"/>
    <w:uiPriority w:val="99"/>
    <w:unhideWhenUsed/>
    <w:rsid w:val="001344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44BD"/>
    <w:rPr>
      <w:rFonts w:ascii="Calibri" w:eastAsia="Times New Roman" w:hAnsi="Calibri" w:cs="Arial"/>
    </w:rPr>
  </w:style>
  <w:style w:type="character" w:styleId="CommentReference">
    <w:name w:val="annotation reference"/>
    <w:basedOn w:val="DefaultParagraphFont"/>
    <w:uiPriority w:val="99"/>
    <w:semiHidden/>
    <w:unhideWhenUsed/>
    <w:rsid w:val="006A4242"/>
    <w:rPr>
      <w:sz w:val="16"/>
      <w:szCs w:val="16"/>
    </w:rPr>
  </w:style>
  <w:style w:type="paragraph" w:styleId="CommentText">
    <w:name w:val="annotation text"/>
    <w:basedOn w:val="Normal"/>
    <w:link w:val="CommentTextChar"/>
    <w:uiPriority w:val="99"/>
    <w:semiHidden/>
    <w:unhideWhenUsed/>
    <w:rsid w:val="006A4242"/>
    <w:pPr>
      <w:spacing w:line="240" w:lineRule="auto"/>
    </w:pPr>
    <w:rPr>
      <w:sz w:val="20"/>
      <w:szCs w:val="20"/>
    </w:rPr>
  </w:style>
  <w:style w:type="character" w:customStyle="1" w:styleId="CommentTextChar">
    <w:name w:val="Comment Text Char"/>
    <w:basedOn w:val="DefaultParagraphFont"/>
    <w:link w:val="CommentText"/>
    <w:uiPriority w:val="99"/>
    <w:semiHidden/>
    <w:rsid w:val="006A4242"/>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6A4242"/>
    <w:rPr>
      <w:b/>
      <w:bCs/>
    </w:rPr>
  </w:style>
  <w:style w:type="character" w:customStyle="1" w:styleId="CommentSubjectChar">
    <w:name w:val="Comment Subject Char"/>
    <w:basedOn w:val="CommentTextChar"/>
    <w:link w:val="CommentSubject"/>
    <w:uiPriority w:val="99"/>
    <w:semiHidden/>
    <w:rsid w:val="006A4242"/>
    <w:rPr>
      <w:rFonts w:ascii="Calibri" w:eastAsia="Times New Roman" w:hAnsi="Calibri" w:cs="Arial"/>
      <w:b/>
      <w:bCs/>
      <w:sz w:val="20"/>
      <w:szCs w:val="20"/>
    </w:rPr>
  </w:style>
  <w:style w:type="character" w:customStyle="1" w:styleId="1">
    <w:name w:val="إشارة لم يتم حلها1"/>
    <w:basedOn w:val="DefaultParagraphFont"/>
    <w:uiPriority w:val="99"/>
    <w:semiHidden/>
    <w:unhideWhenUsed/>
    <w:rsid w:val="00FB0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1645">
      <w:bodyDiv w:val="1"/>
      <w:marLeft w:val="0"/>
      <w:marRight w:val="0"/>
      <w:marTop w:val="0"/>
      <w:marBottom w:val="0"/>
      <w:divBdr>
        <w:top w:val="none" w:sz="0" w:space="0" w:color="auto"/>
        <w:left w:val="none" w:sz="0" w:space="0" w:color="auto"/>
        <w:bottom w:val="none" w:sz="0" w:space="0" w:color="auto"/>
        <w:right w:val="none" w:sz="0" w:space="0" w:color="auto"/>
      </w:divBdr>
    </w:div>
    <w:div w:id="182133440">
      <w:bodyDiv w:val="1"/>
      <w:marLeft w:val="0"/>
      <w:marRight w:val="0"/>
      <w:marTop w:val="0"/>
      <w:marBottom w:val="0"/>
      <w:divBdr>
        <w:top w:val="none" w:sz="0" w:space="0" w:color="auto"/>
        <w:left w:val="none" w:sz="0" w:space="0" w:color="auto"/>
        <w:bottom w:val="none" w:sz="0" w:space="0" w:color="auto"/>
        <w:right w:val="none" w:sz="0" w:space="0" w:color="auto"/>
      </w:divBdr>
    </w:div>
    <w:div w:id="262105852">
      <w:bodyDiv w:val="1"/>
      <w:marLeft w:val="0"/>
      <w:marRight w:val="0"/>
      <w:marTop w:val="0"/>
      <w:marBottom w:val="0"/>
      <w:divBdr>
        <w:top w:val="none" w:sz="0" w:space="0" w:color="auto"/>
        <w:left w:val="none" w:sz="0" w:space="0" w:color="auto"/>
        <w:bottom w:val="none" w:sz="0" w:space="0" w:color="auto"/>
        <w:right w:val="none" w:sz="0" w:space="0" w:color="auto"/>
      </w:divBdr>
    </w:div>
    <w:div w:id="514852183">
      <w:bodyDiv w:val="1"/>
      <w:marLeft w:val="0"/>
      <w:marRight w:val="0"/>
      <w:marTop w:val="0"/>
      <w:marBottom w:val="0"/>
      <w:divBdr>
        <w:top w:val="none" w:sz="0" w:space="0" w:color="auto"/>
        <w:left w:val="none" w:sz="0" w:space="0" w:color="auto"/>
        <w:bottom w:val="none" w:sz="0" w:space="0" w:color="auto"/>
        <w:right w:val="none" w:sz="0" w:space="0" w:color="auto"/>
      </w:divBdr>
    </w:div>
    <w:div w:id="540283523">
      <w:bodyDiv w:val="1"/>
      <w:marLeft w:val="0"/>
      <w:marRight w:val="0"/>
      <w:marTop w:val="0"/>
      <w:marBottom w:val="0"/>
      <w:divBdr>
        <w:top w:val="none" w:sz="0" w:space="0" w:color="auto"/>
        <w:left w:val="none" w:sz="0" w:space="0" w:color="auto"/>
        <w:bottom w:val="none" w:sz="0" w:space="0" w:color="auto"/>
        <w:right w:val="none" w:sz="0" w:space="0" w:color="auto"/>
      </w:divBdr>
      <w:divsChild>
        <w:div w:id="1822041855">
          <w:marLeft w:val="0"/>
          <w:marRight w:val="0"/>
          <w:marTop w:val="0"/>
          <w:marBottom w:val="0"/>
          <w:divBdr>
            <w:top w:val="none" w:sz="0" w:space="0" w:color="auto"/>
            <w:left w:val="none" w:sz="0" w:space="0" w:color="auto"/>
            <w:bottom w:val="none" w:sz="0" w:space="0" w:color="auto"/>
            <w:right w:val="none" w:sz="0" w:space="0" w:color="auto"/>
          </w:divBdr>
        </w:div>
      </w:divsChild>
    </w:div>
    <w:div w:id="566889923">
      <w:bodyDiv w:val="1"/>
      <w:marLeft w:val="0"/>
      <w:marRight w:val="0"/>
      <w:marTop w:val="0"/>
      <w:marBottom w:val="0"/>
      <w:divBdr>
        <w:top w:val="none" w:sz="0" w:space="0" w:color="auto"/>
        <w:left w:val="none" w:sz="0" w:space="0" w:color="auto"/>
        <w:bottom w:val="none" w:sz="0" w:space="0" w:color="auto"/>
        <w:right w:val="none" w:sz="0" w:space="0" w:color="auto"/>
      </w:divBdr>
    </w:div>
    <w:div w:id="669526242">
      <w:bodyDiv w:val="1"/>
      <w:marLeft w:val="0"/>
      <w:marRight w:val="0"/>
      <w:marTop w:val="0"/>
      <w:marBottom w:val="0"/>
      <w:divBdr>
        <w:top w:val="none" w:sz="0" w:space="0" w:color="auto"/>
        <w:left w:val="none" w:sz="0" w:space="0" w:color="auto"/>
        <w:bottom w:val="none" w:sz="0" w:space="0" w:color="auto"/>
        <w:right w:val="none" w:sz="0" w:space="0" w:color="auto"/>
      </w:divBdr>
    </w:div>
    <w:div w:id="741176609">
      <w:bodyDiv w:val="1"/>
      <w:marLeft w:val="0"/>
      <w:marRight w:val="0"/>
      <w:marTop w:val="0"/>
      <w:marBottom w:val="0"/>
      <w:divBdr>
        <w:top w:val="none" w:sz="0" w:space="0" w:color="auto"/>
        <w:left w:val="none" w:sz="0" w:space="0" w:color="auto"/>
        <w:bottom w:val="none" w:sz="0" w:space="0" w:color="auto"/>
        <w:right w:val="none" w:sz="0" w:space="0" w:color="auto"/>
      </w:divBdr>
    </w:div>
    <w:div w:id="819032604">
      <w:bodyDiv w:val="1"/>
      <w:marLeft w:val="0"/>
      <w:marRight w:val="0"/>
      <w:marTop w:val="0"/>
      <w:marBottom w:val="0"/>
      <w:divBdr>
        <w:top w:val="none" w:sz="0" w:space="0" w:color="auto"/>
        <w:left w:val="none" w:sz="0" w:space="0" w:color="auto"/>
        <w:bottom w:val="none" w:sz="0" w:space="0" w:color="auto"/>
        <w:right w:val="none" w:sz="0" w:space="0" w:color="auto"/>
      </w:divBdr>
    </w:div>
    <w:div w:id="839079222">
      <w:bodyDiv w:val="1"/>
      <w:marLeft w:val="0"/>
      <w:marRight w:val="0"/>
      <w:marTop w:val="0"/>
      <w:marBottom w:val="0"/>
      <w:divBdr>
        <w:top w:val="none" w:sz="0" w:space="0" w:color="auto"/>
        <w:left w:val="none" w:sz="0" w:space="0" w:color="auto"/>
        <w:bottom w:val="none" w:sz="0" w:space="0" w:color="auto"/>
        <w:right w:val="none" w:sz="0" w:space="0" w:color="auto"/>
      </w:divBdr>
    </w:div>
    <w:div w:id="972247329">
      <w:bodyDiv w:val="1"/>
      <w:marLeft w:val="0"/>
      <w:marRight w:val="0"/>
      <w:marTop w:val="0"/>
      <w:marBottom w:val="0"/>
      <w:divBdr>
        <w:top w:val="none" w:sz="0" w:space="0" w:color="auto"/>
        <w:left w:val="none" w:sz="0" w:space="0" w:color="auto"/>
        <w:bottom w:val="none" w:sz="0" w:space="0" w:color="auto"/>
        <w:right w:val="none" w:sz="0" w:space="0" w:color="auto"/>
      </w:divBdr>
    </w:div>
    <w:div w:id="1474517149">
      <w:bodyDiv w:val="1"/>
      <w:marLeft w:val="0"/>
      <w:marRight w:val="0"/>
      <w:marTop w:val="0"/>
      <w:marBottom w:val="0"/>
      <w:divBdr>
        <w:top w:val="none" w:sz="0" w:space="0" w:color="auto"/>
        <w:left w:val="none" w:sz="0" w:space="0" w:color="auto"/>
        <w:bottom w:val="none" w:sz="0" w:space="0" w:color="auto"/>
        <w:right w:val="none" w:sz="0" w:space="0" w:color="auto"/>
      </w:divBdr>
      <w:divsChild>
        <w:div w:id="1765414029">
          <w:marLeft w:val="0"/>
          <w:marRight w:val="0"/>
          <w:marTop w:val="0"/>
          <w:marBottom w:val="0"/>
          <w:divBdr>
            <w:top w:val="none" w:sz="0" w:space="0" w:color="auto"/>
            <w:left w:val="none" w:sz="0" w:space="0" w:color="auto"/>
            <w:bottom w:val="none" w:sz="0" w:space="0" w:color="auto"/>
            <w:right w:val="none" w:sz="0" w:space="0" w:color="auto"/>
          </w:divBdr>
          <w:divsChild>
            <w:div w:id="1506899539">
              <w:marLeft w:val="0"/>
              <w:marRight w:val="0"/>
              <w:marTop w:val="0"/>
              <w:marBottom w:val="0"/>
              <w:divBdr>
                <w:top w:val="none" w:sz="0" w:space="0" w:color="auto"/>
                <w:left w:val="none" w:sz="0" w:space="0" w:color="auto"/>
                <w:bottom w:val="none" w:sz="0" w:space="0" w:color="auto"/>
                <w:right w:val="none" w:sz="0" w:space="0" w:color="auto"/>
              </w:divBdr>
            </w:div>
          </w:divsChild>
        </w:div>
        <w:div w:id="1613513758">
          <w:marLeft w:val="0"/>
          <w:marRight w:val="0"/>
          <w:marTop w:val="0"/>
          <w:marBottom w:val="0"/>
          <w:divBdr>
            <w:top w:val="none" w:sz="0" w:space="0" w:color="auto"/>
            <w:left w:val="none" w:sz="0" w:space="0" w:color="auto"/>
            <w:bottom w:val="none" w:sz="0" w:space="0" w:color="auto"/>
            <w:right w:val="none" w:sz="0" w:space="0" w:color="auto"/>
          </w:divBdr>
        </w:div>
      </w:divsChild>
    </w:div>
    <w:div w:id="1560895874">
      <w:bodyDiv w:val="1"/>
      <w:marLeft w:val="0"/>
      <w:marRight w:val="0"/>
      <w:marTop w:val="0"/>
      <w:marBottom w:val="0"/>
      <w:divBdr>
        <w:top w:val="none" w:sz="0" w:space="0" w:color="auto"/>
        <w:left w:val="none" w:sz="0" w:space="0" w:color="auto"/>
        <w:bottom w:val="none" w:sz="0" w:space="0" w:color="auto"/>
        <w:right w:val="none" w:sz="0" w:space="0" w:color="auto"/>
      </w:divBdr>
    </w:div>
    <w:div w:id="1560944370">
      <w:bodyDiv w:val="1"/>
      <w:marLeft w:val="0"/>
      <w:marRight w:val="0"/>
      <w:marTop w:val="0"/>
      <w:marBottom w:val="0"/>
      <w:divBdr>
        <w:top w:val="none" w:sz="0" w:space="0" w:color="auto"/>
        <w:left w:val="none" w:sz="0" w:space="0" w:color="auto"/>
        <w:bottom w:val="none" w:sz="0" w:space="0" w:color="auto"/>
        <w:right w:val="none" w:sz="0" w:space="0" w:color="auto"/>
      </w:divBdr>
    </w:div>
    <w:div w:id="1964647898">
      <w:bodyDiv w:val="1"/>
      <w:marLeft w:val="0"/>
      <w:marRight w:val="0"/>
      <w:marTop w:val="0"/>
      <w:marBottom w:val="0"/>
      <w:divBdr>
        <w:top w:val="none" w:sz="0" w:space="0" w:color="auto"/>
        <w:left w:val="none" w:sz="0" w:space="0" w:color="auto"/>
        <w:bottom w:val="none" w:sz="0" w:space="0" w:color="auto"/>
        <w:right w:val="none" w:sz="0" w:space="0" w:color="auto"/>
      </w:divBdr>
      <w:divsChild>
        <w:div w:id="1110971202">
          <w:marLeft w:val="0"/>
          <w:marRight w:val="0"/>
          <w:marTop w:val="0"/>
          <w:marBottom w:val="0"/>
          <w:divBdr>
            <w:top w:val="none" w:sz="0" w:space="0" w:color="auto"/>
            <w:left w:val="none" w:sz="0" w:space="0" w:color="auto"/>
            <w:bottom w:val="none" w:sz="0" w:space="0" w:color="auto"/>
            <w:right w:val="none" w:sz="0" w:space="0" w:color="auto"/>
          </w:divBdr>
          <w:divsChild>
            <w:div w:id="1905946920">
              <w:marLeft w:val="0"/>
              <w:marRight w:val="0"/>
              <w:marTop w:val="0"/>
              <w:marBottom w:val="0"/>
              <w:divBdr>
                <w:top w:val="none" w:sz="0" w:space="0" w:color="auto"/>
                <w:left w:val="none" w:sz="0" w:space="0" w:color="auto"/>
                <w:bottom w:val="none" w:sz="0" w:space="0" w:color="auto"/>
                <w:right w:val="none" w:sz="0" w:space="0" w:color="auto"/>
              </w:divBdr>
            </w:div>
          </w:divsChild>
        </w:div>
        <w:div w:id="1410931630">
          <w:marLeft w:val="0"/>
          <w:marRight w:val="0"/>
          <w:marTop w:val="0"/>
          <w:marBottom w:val="0"/>
          <w:divBdr>
            <w:top w:val="none" w:sz="0" w:space="0" w:color="auto"/>
            <w:left w:val="none" w:sz="0" w:space="0" w:color="auto"/>
            <w:bottom w:val="none" w:sz="0" w:space="0" w:color="auto"/>
            <w:right w:val="none" w:sz="0" w:space="0" w:color="auto"/>
          </w:divBdr>
        </w:div>
      </w:divsChild>
    </w:div>
    <w:div w:id="2059670022">
      <w:bodyDiv w:val="1"/>
      <w:marLeft w:val="0"/>
      <w:marRight w:val="0"/>
      <w:marTop w:val="0"/>
      <w:marBottom w:val="0"/>
      <w:divBdr>
        <w:top w:val="none" w:sz="0" w:space="0" w:color="auto"/>
        <w:left w:val="none" w:sz="0" w:space="0" w:color="auto"/>
        <w:bottom w:val="none" w:sz="0" w:space="0" w:color="auto"/>
        <w:right w:val="none" w:sz="0" w:space="0" w:color="auto"/>
      </w:divBdr>
      <w:divsChild>
        <w:div w:id="1617063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F77172-DE9A-4384-839B-AC61B06AC1C9}">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42D3F-FF45-40F4-BF74-AD3C0A2E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3014</Words>
  <Characters>17180</Characters>
  <Application>Microsoft Office Word</Application>
  <DocSecurity>0</DocSecurity>
  <Lines>143</Lines>
  <Paragraphs>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safwat</dc:creator>
  <cp:lastModifiedBy>kareem_raaft@bu.edu.eg</cp:lastModifiedBy>
  <cp:revision>2</cp:revision>
  <cp:lastPrinted>2024-03-20T08:58:00Z</cp:lastPrinted>
  <dcterms:created xsi:type="dcterms:W3CDTF">2024-03-20T09:11:00Z</dcterms:created>
  <dcterms:modified xsi:type="dcterms:W3CDTF">2024-03-20T09:11:00Z</dcterms:modified>
</cp:coreProperties>
</file>